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4BBBC" w14:textId="77777777" w:rsidR="00BB4B7A" w:rsidRDefault="00000000">
      <w:pPr>
        <w:pBdr>
          <w:top w:val="nil"/>
          <w:left w:val="nil"/>
          <w:bottom w:val="nil"/>
          <w:right w:val="nil"/>
          <w:between w:val="nil"/>
        </w:pBdr>
        <w:ind w:left="115"/>
        <w:rPr>
          <w:color w:val="000000"/>
          <w:sz w:val="24"/>
          <w:szCs w:val="24"/>
        </w:rPr>
      </w:pPr>
      <w:r>
        <w:rPr>
          <w:noProof/>
          <w:sz w:val="24"/>
          <w:szCs w:val="24"/>
        </w:rPr>
        <w:drawing>
          <wp:inline distT="114300" distB="114300" distL="114300" distR="114300" wp14:anchorId="0899D9F4" wp14:editId="114B1F6A">
            <wp:extent cx="1824038" cy="166821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4038" cy="1668215"/>
                    </a:xfrm>
                    <a:prstGeom prst="rect">
                      <a:avLst/>
                    </a:prstGeom>
                    <a:ln/>
                  </pic:spPr>
                </pic:pic>
              </a:graphicData>
            </a:graphic>
          </wp:inline>
        </w:drawing>
      </w:r>
    </w:p>
    <w:p w14:paraId="4802EAA5" w14:textId="77777777" w:rsidR="00BB4B7A" w:rsidRDefault="00BB4B7A">
      <w:pPr>
        <w:pBdr>
          <w:top w:val="nil"/>
          <w:left w:val="nil"/>
          <w:bottom w:val="nil"/>
          <w:right w:val="nil"/>
          <w:between w:val="nil"/>
        </w:pBdr>
        <w:rPr>
          <w:color w:val="000000"/>
          <w:sz w:val="24"/>
          <w:szCs w:val="24"/>
        </w:rPr>
      </w:pPr>
    </w:p>
    <w:p w14:paraId="32F0A37E" w14:textId="77777777" w:rsidR="00BB4B7A" w:rsidRDefault="00BB4B7A">
      <w:pPr>
        <w:pBdr>
          <w:top w:val="nil"/>
          <w:left w:val="nil"/>
          <w:bottom w:val="nil"/>
          <w:right w:val="nil"/>
          <w:between w:val="nil"/>
        </w:pBdr>
        <w:spacing w:before="8"/>
        <w:rPr>
          <w:color w:val="000000"/>
          <w:sz w:val="24"/>
          <w:szCs w:val="24"/>
        </w:rPr>
      </w:pPr>
    </w:p>
    <w:p w14:paraId="54BCF3A9" w14:textId="77777777" w:rsidR="00BB4B7A" w:rsidRDefault="00000000">
      <w:pPr>
        <w:pStyle w:val="Title"/>
        <w:ind w:left="0" w:right="20"/>
        <w:jc w:val="left"/>
        <w:rPr>
          <w:rFonts w:ascii="Helvetica Neue" w:eastAsia="Helvetica Neue" w:hAnsi="Helvetica Neue" w:cs="Helvetica Neue"/>
          <w:sz w:val="32"/>
          <w:szCs w:val="32"/>
        </w:rPr>
      </w:pPr>
      <w:r>
        <w:rPr>
          <w:rFonts w:ascii="Helvetica Neue" w:eastAsia="Helvetica Neue" w:hAnsi="Helvetica Neue" w:cs="Helvetica Neue"/>
          <w:sz w:val="32"/>
          <w:szCs w:val="32"/>
        </w:rPr>
        <w:t>A Guide to Itemizing Professional Services</w:t>
      </w:r>
    </w:p>
    <w:p w14:paraId="6FDC80E5" w14:textId="77777777" w:rsidR="00BB4B7A" w:rsidRDefault="00000000">
      <w:pPr>
        <w:pStyle w:val="Title"/>
        <w:ind w:left="0" w:right="20"/>
        <w:jc w:val="left"/>
        <w:rPr>
          <w:rFonts w:ascii="Helvetica Neue" w:eastAsia="Helvetica Neue" w:hAnsi="Helvetica Neue" w:cs="Helvetica Neue"/>
          <w:sz w:val="32"/>
          <w:szCs w:val="32"/>
        </w:rPr>
      </w:pPr>
      <w:r>
        <w:rPr>
          <w:rFonts w:ascii="Helvetica Neue" w:eastAsia="Helvetica Neue" w:hAnsi="Helvetica Neue" w:cs="Helvetica Neue"/>
          <w:sz w:val="32"/>
          <w:szCs w:val="32"/>
        </w:rPr>
        <w:t xml:space="preserve">Revised/Updated </w:t>
      </w:r>
      <w:proofErr w:type="gramStart"/>
      <w:r>
        <w:rPr>
          <w:rFonts w:ascii="Helvetica Neue" w:eastAsia="Helvetica Neue" w:hAnsi="Helvetica Neue" w:cs="Helvetica Neue"/>
          <w:sz w:val="32"/>
          <w:szCs w:val="32"/>
        </w:rPr>
        <w:t>September,</w:t>
      </w:r>
      <w:proofErr w:type="gramEnd"/>
      <w:r>
        <w:rPr>
          <w:rFonts w:ascii="Helvetica Neue" w:eastAsia="Helvetica Neue" w:hAnsi="Helvetica Neue" w:cs="Helvetica Neue"/>
          <w:sz w:val="32"/>
          <w:szCs w:val="32"/>
        </w:rPr>
        <w:t xml:space="preserve"> 2025</w:t>
      </w:r>
    </w:p>
    <w:p w14:paraId="7949BD9C" w14:textId="77777777" w:rsidR="00BB4B7A" w:rsidRDefault="00BB4B7A">
      <w:pPr>
        <w:rPr>
          <w:rFonts w:ascii="Helvetica Neue" w:eastAsia="Helvetica Neue" w:hAnsi="Helvetica Neue" w:cs="Helvetica Neue"/>
        </w:rPr>
      </w:pPr>
    </w:p>
    <w:p w14:paraId="1CFC0395" w14:textId="77777777" w:rsidR="00BB4B7A" w:rsidRDefault="00000000">
      <w:pPr>
        <w:pBdr>
          <w:top w:val="nil"/>
          <w:left w:val="nil"/>
          <w:bottom w:val="nil"/>
          <w:right w:val="nil"/>
          <w:between w:val="nil"/>
        </w:pBdr>
        <w:spacing w:before="200"/>
        <w:ind w:left="440" w:right="390"/>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 xml:space="preserve">Due to a widespread change in the delivery of hearing health services and related devices by both private and public payers, many audiologists </w:t>
      </w:r>
      <w:r>
        <w:rPr>
          <w:rFonts w:ascii="Helvetica Neue" w:eastAsia="Helvetica Neue" w:hAnsi="Helvetica Neue" w:cs="Helvetica Neue"/>
          <w:sz w:val="24"/>
          <w:szCs w:val="24"/>
        </w:rPr>
        <w:t>have changed</w:t>
      </w:r>
      <w:r>
        <w:rPr>
          <w:rFonts w:ascii="Helvetica Neue" w:eastAsia="Helvetica Neue" w:hAnsi="Helvetica Neue" w:cs="Helvetica Neue"/>
          <w:color w:val="000000"/>
          <w:sz w:val="24"/>
          <w:szCs w:val="24"/>
        </w:rPr>
        <w:t xml:space="preserve"> their office billing practices by separately itemizing c</w:t>
      </w:r>
      <w:r>
        <w:rPr>
          <w:rFonts w:ascii="Helvetica Neue" w:eastAsia="Helvetica Neue" w:hAnsi="Helvetica Neue" w:cs="Helvetica Neue"/>
          <w:sz w:val="24"/>
          <w:szCs w:val="24"/>
        </w:rPr>
        <w:t xml:space="preserve">harges for </w:t>
      </w:r>
      <w:r>
        <w:rPr>
          <w:rFonts w:ascii="Helvetica Neue" w:eastAsia="Helvetica Neue" w:hAnsi="Helvetica Neue" w:cs="Helvetica Neue"/>
          <w:color w:val="000000"/>
          <w:sz w:val="24"/>
          <w:szCs w:val="24"/>
        </w:rPr>
        <w:t xml:space="preserve">hearing instruments and the professional services associated with them. This </w:t>
      </w:r>
      <w:r>
        <w:rPr>
          <w:rFonts w:ascii="Helvetica Neue" w:eastAsia="Helvetica Neue" w:hAnsi="Helvetica Neue" w:cs="Helvetica Neue"/>
          <w:sz w:val="24"/>
          <w:szCs w:val="24"/>
        </w:rPr>
        <w:t>practice is referred</w:t>
      </w:r>
      <w:r>
        <w:rPr>
          <w:rFonts w:ascii="Helvetica Neue" w:eastAsia="Helvetica Neue" w:hAnsi="Helvetica Neue" w:cs="Helvetica Neue"/>
          <w:color w:val="000000"/>
          <w:sz w:val="24"/>
          <w:szCs w:val="24"/>
        </w:rPr>
        <w:t xml:space="preserve"> to by the profession as “unbundling.”  Wheth</w:t>
      </w:r>
      <w:r>
        <w:rPr>
          <w:rFonts w:ascii="Helvetica Neue" w:eastAsia="Helvetica Neue" w:hAnsi="Helvetica Neue" w:cs="Helvetica Neue"/>
          <w:sz w:val="24"/>
          <w:szCs w:val="24"/>
        </w:rPr>
        <w:t xml:space="preserve">er a bundled or itemized model is used, the dollar amount for the hearing aid(s) and services should yield the same total. </w:t>
      </w:r>
      <w:r>
        <w:rPr>
          <w:rFonts w:ascii="Helvetica Neue" w:eastAsia="Helvetica Neue" w:hAnsi="Helvetica Neue" w:cs="Helvetica Neue"/>
          <w:color w:val="000000"/>
          <w:sz w:val="24"/>
          <w:szCs w:val="24"/>
        </w:rPr>
        <w:t>This informational document was developed by the American Academy of Audiology (the “Academy”) as a guide to itemiz</w:t>
      </w:r>
      <w:r>
        <w:rPr>
          <w:rFonts w:ascii="Helvetica Neue" w:eastAsia="Helvetica Neue" w:hAnsi="Helvetica Neue" w:cs="Helvetica Neue"/>
          <w:sz w:val="24"/>
          <w:szCs w:val="24"/>
        </w:rPr>
        <w:t>ation</w:t>
      </w:r>
      <w:r>
        <w:rPr>
          <w:rFonts w:ascii="Helvetica Neue" w:eastAsia="Helvetica Neue" w:hAnsi="Helvetica Neue" w:cs="Helvetica Neue"/>
          <w:color w:val="000000"/>
          <w:sz w:val="24"/>
          <w:szCs w:val="24"/>
        </w:rPr>
        <w:t>.</w:t>
      </w:r>
      <w:r>
        <w:rPr>
          <w:rFonts w:ascii="Helvetica Neue" w:eastAsia="Helvetica Neue" w:hAnsi="Helvetica Neue" w:cs="Helvetica Neue"/>
          <w:color w:val="000000"/>
          <w:sz w:val="24"/>
          <w:szCs w:val="24"/>
          <w:vertAlign w:val="superscript"/>
        </w:rPr>
        <w:footnoteReference w:id="1"/>
      </w:r>
      <w:r>
        <w:rPr>
          <w:rFonts w:ascii="Helvetica Neue" w:eastAsia="Helvetica Neue" w:hAnsi="Helvetica Neue" w:cs="Helvetica Neue"/>
          <w:color w:val="000000"/>
          <w:sz w:val="24"/>
          <w:szCs w:val="24"/>
        </w:rPr>
        <w:t xml:space="preserve"> </w:t>
      </w:r>
    </w:p>
    <w:p w14:paraId="0B2232FD" w14:textId="77777777" w:rsidR="00BB4B7A" w:rsidRDefault="00000000">
      <w:pPr>
        <w:pBdr>
          <w:top w:val="nil"/>
          <w:left w:val="nil"/>
          <w:bottom w:val="nil"/>
          <w:right w:val="nil"/>
          <w:between w:val="nil"/>
        </w:pBdr>
        <w:spacing w:before="200"/>
        <w:ind w:left="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There are many ways to incorporate itemization into practice. For example, a practitioner may present a pr</w:t>
      </w:r>
      <w:r>
        <w:rPr>
          <w:rFonts w:ascii="Helvetica Neue" w:eastAsia="Helvetica Neue" w:hAnsi="Helvetica Neue" w:cs="Helvetica Neue"/>
          <w:sz w:val="24"/>
          <w:szCs w:val="24"/>
        </w:rPr>
        <w:t xml:space="preserve">ivate-pay patient one or more of the following options: </w:t>
      </w:r>
    </w:p>
    <w:p w14:paraId="3A0ACECE" w14:textId="77777777" w:rsidR="00BB4B7A" w:rsidRDefault="00000000">
      <w:pPr>
        <w:numPr>
          <w:ilvl w:val="0"/>
          <w:numId w:val="5"/>
        </w:numPr>
        <w:pBdr>
          <w:top w:val="nil"/>
          <w:left w:val="nil"/>
          <w:bottom w:val="nil"/>
          <w:right w:val="nil"/>
          <w:between w:val="nil"/>
        </w:pBdr>
        <w:tabs>
          <w:tab w:val="left" w:pos="1161"/>
        </w:tabs>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Present a fee for the device(s) and a separate fee for each associated professional service.</w:t>
      </w:r>
    </w:p>
    <w:p w14:paraId="4BAC85D5" w14:textId="77777777" w:rsidR="00BB4B7A" w:rsidRDefault="00000000">
      <w:pPr>
        <w:numPr>
          <w:ilvl w:val="0"/>
          <w:numId w:val="5"/>
        </w:numPr>
        <w:pBdr>
          <w:top w:val="nil"/>
          <w:left w:val="nil"/>
          <w:bottom w:val="nil"/>
          <w:right w:val="nil"/>
          <w:between w:val="nil"/>
        </w:pBdr>
        <w:tabs>
          <w:tab w:val="left" w:pos="1161"/>
        </w:tabs>
        <w:spacing w:before="2"/>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Present a combined fee for the device(s) and a </w:t>
      </w:r>
      <w:r>
        <w:rPr>
          <w:rFonts w:ascii="Helvetica Neue" w:eastAsia="Helvetica Neue" w:hAnsi="Helvetica Neue" w:cs="Helvetica Neue"/>
          <w:sz w:val="24"/>
          <w:szCs w:val="24"/>
        </w:rPr>
        <w:t>predefined</w:t>
      </w:r>
      <w:r>
        <w:rPr>
          <w:rFonts w:ascii="Helvetica Neue" w:eastAsia="Helvetica Neue" w:hAnsi="Helvetica Neue" w:cs="Helvetica Neue"/>
          <w:color w:val="000000"/>
          <w:sz w:val="24"/>
          <w:szCs w:val="24"/>
        </w:rPr>
        <w:t xml:space="preserve"> set of professional </w:t>
      </w:r>
      <w:r>
        <w:rPr>
          <w:rFonts w:ascii="Helvetica Neue" w:eastAsia="Helvetica Neue" w:hAnsi="Helvetica Neue" w:cs="Helvetica Neue"/>
          <w:sz w:val="24"/>
          <w:szCs w:val="24"/>
        </w:rPr>
        <w:t xml:space="preserve">and/or </w:t>
      </w:r>
      <w:r>
        <w:rPr>
          <w:rFonts w:ascii="Helvetica Neue" w:eastAsia="Helvetica Neue" w:hAnsi="Helvetica Neue" w:cs="Helvetica Neue"/>
          <w:color w:val="000000"/>
          <w:sz w:val="24"/>
          <w:szCs w:val="24"/>
        </w:rPr>
        <w:t xml:space="preserve">device service options over a specified </w:t>
      </w:r>
      <w:proofErr w:type="gramStart"/>
      <w:r>
        <w:rPr>
          <w:rFonts w:ascii="Helvetica Neue" w:eastAsia="Helvetica Neue" w:hAnsi="Helvetica Neue" w:cs="Helvetica Neue"/>
          <w:color w:val="000000"/>
          <w:sz w:val="24"/>
          <w:szCs w:val="24"/>
        </w:rPr>
        <w:t>time period</w:t>
      </w:r>
      <w:proofErr w:type="gramEnd"/>
      <w:r>
        <w:rPr>
          <w:rFonts w:ascii="Helvetica Neue" w:eastAsia="Helvetica Neue" w:hAnsi="Helvetica Neue" w:cs="Helvetica Neue"/>
          <w:color w:val="000000"/>
          <w:sz w:val="24"/>
          <w:szCs w:val="24"/>
        </w:rPr>
        <w:t>. The included se</w:t>
      </w:r>
      <w:r>
        <w:rPr>
          <w:rFonts w:ascii="Helvetica Neue" w:eastAsia="Helvetica Neue" w:hAnsi="Helvetica Neue" w:cs="Helvetica Neue"/>
          <w:sz w:val="24"/>
          <w:szCs w:val="24"/>
        </w:rPr>
        <w:t xml:space="preserve">rvices would be itemized for the patient. </w:t>
      </w:r>
      <w:r>
        <w:rPr>
          <w:rFonts w:ascii="Helvetica Neue" w:eastAsia="Helvetica Neue" w:hAnsi="Helvetica Neue" w:cs="Helvetica Neue"/>
          <w:color w:val="000000"/>
          <w:sz w:val="24"/>
          <w:szCs w:val="24"/>
        </w:rPr>
        <w:t xml:space="preserve"> </w:t>
      </w:r>
    </w:p>
    <w:p w14:paraId="349723C8" w14:textId="77777777" w:rsidR="00BB4B7A" w:rsidRDefault="00000000">
      <w:pPr>
        <w:numPr>
          <w:ilvl w:val="0"/>
          <w:numId w:val="5"/>
        </w:numPr>
        <w:pBdr>
          <w:top w:val="nil"/>
          <w:left w:val="nil"/>
          <w:bottom w:val="nil"/>
          <w:right w:val="nil"/>
          <w:between w:val="nil"/>
        </w:pBdr>
        <w:tabs>
          <w:tab w:val="left" w:pos="1161"/>
        </w:tabs>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Some variation of the above.</w:t>
      </w:r>
    </w:p>
    <w:p w14:paraId="25447C9C" w14:textId="77777777" w:rsidR="00BB4B7A" w:rsidRDefault="00BB4B7A">
      <w:pPr>
        <w:pBdr>
          <w:top w:val="nil"/>
          <w:left w:val="nil"/>
          <w:bottom w:val="nil"/>
          <w:right w:val="nil"/>
          <w:between w:val="nil"/>
        </w:pBdr>
        <w:rPr>
          <w:rFonts w:ascii="Helvetica Neue" w:eastAsia="Helvetica Neue" w:hAnsi="Helvetica Neue" w:cs="Helvetica Neue"/>
          <w:color w:val="000000"/>
          <w:sz w:val="24"/>
          <w:szCs w:val="24"/>
        </w:rPr>
      </w:pPr>
    </w:p>
    <w:p w14:paraId="4F6D350D" w14:textId="77777777" w:rsidR="00BB4B7A" w:rsidRDefault="00000000">
      <w:pPr>
        <w:pBdr>
          <w:top w:val="nil"/>
          <w:left w:val="nil"/>
          <w:bottom w:val="nil"/>
          <w:right w:val="nil"/>
          <w:between w:val="nil"/>
        </w:pBdr>
        <w:ind w:left="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In cases where itemization is required (i.e</w:t>
      </w:r>
      <w:r>
        <w:rPr>
          <w:rFonts w:ascii="Helvetica Neue" w:eastAsia="Helvetica Neue" w:hAnsi="Helvetica Neue" w:cs="Helvetica Neue"/>
          <w:sz w:val="24"/>
          <w:szCs w:val="24"/>
        </w:rPr>
        <w:t>. billing insurance)</w:t>
      </w:r>
      <w:r>
        <w:rPr>
          <w:rFonts w:ascii="Helvetica Neue" w:eastAsia="Helvetica Neue" w:hAnsi="Helvetica Neue" w:cs="Helvetica Neue"/>
          <w:color w:val="000000"/>
          <w:sz w:val="24"/>
          <w:szCs w:val="24"/>
        </w:rPr>
        <w:t xml:space="preserve">, it </w:t>
      </w:r>
      <w:r>
        <w:rPr>
          <w:rFonts w:ascii="Helvetica Neue" w:eastAsia="Helvetica Neue" w:hAnsi="Helvetica Neue" w:cs="Helvetica Neue"/>
          <w:sz w:val="24"/>
          <w:szCs w:val="24"/>
        </w:rPr>
        <w:t>is</w:t>
      </w:r>
      <w:r>
        <w:rPr>
          <w:rFonts w:ascii="Helvetica Neue" w:eastAsia="Helvetica Neue" w:hAnsi="Helvetica Neue" w:cs="Helvetica Neue"/>
          <w:color w:val="000000"/>
          <w:sz w:val="24"/>
          <w:szCs w:val="24"/>
        </w:rPr>
        <w:t xml:space="preserve"> advisable to identify and itemize professional fees separately from the hearing device(s). This </w:t>
      </w:r>
      <w:r>
        <w:rPr>
          <w:rFonts w:ascii="Helvetica Neue" w:eastAsia="Helvetica Neue" w:hAnsi="Helvetica Neue" w:cs="Helvetica Neue"/>
          <w:sz w:val="24"/>
          <w:szCs w:val="24"/>
        </w:rPr>
        <w:t>practice accomplishes 2 goals: 1. It demonstrates to the insurance company that the practitioner is providing professional services and not simply a product, and 2. It will maximize insurance reimbursement for the device AND the professional services delivered.</w:t>
      </w:r>
      <w:r>
        <w:rPr>
          <w:rFonts w:ascii="Helvetica Neue" w:eastAsia="Helvetica Neue" w:hAnsi="Helvetica Neue" w:cs="Helvetica Neue"/>
          <w:color w:val="000000"/>
          <w:sz w:val="24"/>
          <w:szCs w:val="24"/>
        </w:rPr>
        <w:t xml:space="preserve"> </w:t>
      </w:r>
    </w:p>
    <w:p w14:paraId="2B991F65" w14:textId="77777777" w:rsidR="00BB4B7A" w:rsidRDefault="00BB4B7A">
      <w:pPr>
        <w:pBdr>
          <w:top w:val="nil"/>
          <w:left w:val="nil"/>
          <w:bottom w:val="nil"/>
          <w:right w:val="nil"/>
          <w:between w:val="nil"/>
        </w:pBdr>
        <w:spacing w:before="10"/>
        <w:rPr>
          <w:rFonts w:ascii="Helvetica Neue" w:eastAsia="Helvetica Neue" w:hAnsi="Helvetica Neue" w:cs="Helvetica Neue"/>
          <w:color w:val="000000"/>
          <w:sz w:val="24"/>
          <w:szCs w:val="24"/>
        </w:rPr>
      </w:pPr>
    </w:p>
    <w:p w14:paraId="2C564035" w14:textId="77777777" w:rsidR="00BB4B7A" w:rsidRDefault="00000000">
      <w:pPr>
        <w:pStyle w:val="Heading2"/>
        <w:ind w:left="0"/>
        <w:rPr>
          <w:rFonts w:ascii="Helvetica Neue" w:eastAsia="Helvetica Neue" w:hAnsi="Helvetica Neue" w:cs="Helvetica Neue"/>
          <w:sz w:val="24"/>
          <w:szCs w:val="24"/>
        </w:rPr>
      </w:pPr>
      <w:r>
        <w:rPr>
          <w:rFonts w:ascii="Helvetica Neue" w:eastAsia="Helvetica Neue" w:hAnsi="Helvetica Neue" w:cs="Helvetica Neue"/>
          <w:sz w:val="24"/>
          <w:szCs w:val="24"/>
        </w:rPr>
        <w:t>Develop a Fee Schedule</w:t>
      </w:r>
    </w:p>
    <w:p w14:paraId="03E9F4EB" w14:textId="77777777" w:rsidR="00BB4B7A" w:rsidRDefault="00000000">
      <w:pPr>
        <w:numPr>
          <w:ilvl w:val="1"/>
          <w:numId w:val="8"/>
        </w:numPr>
        <w:pBdr>
          <w:top w:val="nil"/>
          <w:left w:val="nil"/>
          <w:bottom w:val="nil"/>
          <w:right w:val="nil"/>
          <w:between w:val="nil"/>
        </w:pBdr>
        <w:spacing w:before="196"/>
        <w:ind w:left="1440" w:right="767" w:hanging="360"/>
        <w:rPr>
          <w:rFonts w:ascii="Helvetica Neue" w:eastAsia="Helvetica Neue" w:hAnsi="Helvetica Neue" w:cs="Helvetica Neue"/>
          <w:color w:val="000000"/>
          <w:sz w:val="24"/>
          <w:szCs w:val="24"/>
        </w:rPr>
      </w:pP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begin itemizing professional services, a fee schedule is critical. When determining the value of the fees to bill patients/insurance, it is helpful to begin with the fee schedule(s) of insurance payers with whom the practice is contracted. This information may have been supplied to the practice when the </w:t>
      </w:r>
      <w:r>
        <w:rPr>
          <w:rFonts w:ascii="Helvetica Neue" w:eastAsia="Helvetica Neue" w:hAnsi="Helvetica Neue" w:cs="Helvetica Neue"/>
          <w:sz w:val="24"/>
          <w:szCs w:val="24"/>
        </w:rPr>
        <w:lastRenderedPageBreak/>
        <w:t xml:space="preserve">contract was finalized. In many cases, it can also be obtained from a provider portal for the insurance company or through Availity. The Academy’s Superbill Resource can be accessed with the following </w:t>
      </w:r>
      <w:proofErr w:type="gramStart"/>
      <w:r>
        <w:rPr>
          <w:rFonts w:ascii="Helvetica Neue" w:eastAsia="Helvetica Neue" w:hAnsi="Helvetica Neue" w:cs="Helvetica Neue"/>
          <w:sz w:val="24"/>
          <w:szCs w:val="24"/>
        </w:rPr>
        <w:t>link, and</w:t>
      </w:r>
      <w:proofErr w:type="gramEnd"/>
      <w:r>
        <w:rPr>
          <w:rFonts w:ascii="Helvetica Neue" w:eastAsia="Helvetica Neue" w:hAnsi="Helvetica Neue" w:cs="Helvetica Neue"/>
          <w:sz w:val="24"/>
          <w:szCs w:val="24"/>
        </w:rPr>
        <w:t xml:space="preserve"> may be helpful in identifying procedure codes to include for hearing devices and associated services. </w:t>
      </w:r>
    </w:p>
    <w:p w14:paraId="41658FAC" w14:textId="5FE585CD" w:rsidR="00BB4B7A" w:rsidRDefault="00000000">
      <w:pPr>
        <w:pBdr>
          <w:top w:val="nil"/>
          <w:left w:val="nil"/>
          <w:bottom w:val="nil"/>
          <w:right w:val="nil"/>
          <w:between w:val="nil"/>
        </w:pBdr>
        <w:spacing w:before="196"/>
        <w:ind w:left="1880" w:right="767"/>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br/>
      </w:r>
      <w:hyperlink r:id="rId9" w:history="1">
        <w:r w:rsidR="00BB4B7A" w:rsidRPr="0073461B">
          <w:rPr>
            <w:rStyle w:val="Hyperlink"/>
            <w:rFonts w:ascii="Helvetica Neue" w:eastAsia="Helvetica Neue" w:hAnsi="Helvetica Neue" w:cs="Helvetica Neue"/>
            <w:sz w:val="24"/>
            <w:szCs w:val="24"/>
          </w:rPr>
          <w:t>Academy Superbill Resource (2025)—American Academy of Audiology</w:t>
        </w:r>
      </w:hyperlink>
      <w:r>
        <w:rPr>
          <w:rFonts w:ascii="Helvetica Neue" w:eastAsia="Helvetica Neue" w:hAnsi="Helvetica Neue" w:cs="Helvetica Neue"/>
          <w:sz w:val="24"/>
          <w:szCs w:val="24"/>
        </w:rPr>
        <w:t xml:space="preserve"> </w:t>
      </w:r>
    </w:p>
    <w:p w14:paraId="70458B14" w14:textId="77777777" w:rsidR="00BB4B7A" w:rsidRDefault="00BB4B7A">
      <w:pPr>
        <w:pBdr>
          <w:top w:val="nil"/>
          <w:left w:val="nil"/>
          <w:bottom w:val="nil"/>
          <w:right w:val="nil"/>
          <w:between w:val="nil"/>
        </w:pBdr>
        <w:spacing w:before="196"/>
        <w:ind w:left="1880" w:right="767"/>
        <w:rPr>
          <w:rFonts w:ascii="Helvetica Neue" w:eastAsia="Helvetica Neue" w:hAnsi="Helvetica Neue" w:cs="Helvetica Neue"/>
          <w:sz w:val="24"/>
          <w:szCs w:val="24"/>
        </w:rPr>
      </w:pPr>
    </w:p>
    <w:p w14:paraId="36F5770D" w14:textId="77777777" w:rsidR="00BB4B7A" w:rsidRDefault="00000000">
      <w:pPr>
        <w:numPr>
          <w:ilvl w:val="1"/>
          <w:numId w:val="8"/>
        </w:numPr>
        <w:pBdr>
          <w:top w:val="nil"/>
          <w:left w:val="nil"/>
          <w:bottom w:val="nil"/>
          <w:right w:val="nil"/>
          <w:between w:val="nil"/>
        </w:pBdr>
        <w:tabs>
          <w:tab w:val="left" w:pos="1546"/>
          <w:tab w:val="left" w:pos="1547"/>
        </w:tabs>
        <w:spacing w:before="63"/>
        <w:ind w:left="1440" w:hanging="36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Itemize the delivery model.</w:t>
      </w:r>
    </w:p>
    <w:p w14:paraId="01E50013" w14:textId="77777777" w:rsidR="00BB4B7A" w:rsidRDefault="00BB4B7A">
      <w:pPr>
        <w:pBdr>
          <w:top w:val="nil"/>
          <w:left w:val="nil"/>
          <w:bottom w:val="nil"/>
          <w:right w:val="nil"/>
          <w:between w:val="nil"/>
        </w:pBdr>
        <w:ind w:left="1440" w:right="416"/>
        <w:rPr>
          <w:rFonts w:ascii="Helvetica Neue" w:eastAsia="Helvetica Neue" w:hAnsi="Helvetica Neue" w:cs="Helvetica Neue"/>
          <w:color w:val="000000"/>
          <w:sz w:val="24"/>
          <w:szCs w:val="24"/>
        </w:rPr>
      </w:pPr>
    </w:p>
    <w:p w14:paraId="49407DEB" w14:textId="77777777" w:rsidR="00BB4B7A" w:rsidRDefault="00000000">
      <w:pPr>
        <w:pBdr>
          <w:top w:val="nil"/>
          <w:left w:val="nil"/>
          <w:bottom w:val="nil"/>
          <w:right w:val="nil"/>
          <w:between w:val="nil"/>
        </w:pBdr>
        <w:ind w:left="1440" w:right="4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Practices </w:t>
      </w:r>
      <w:r>
        <w:rPr>
          <w:rFonts w:ascii="Helvetica Neue" w:eastAsia="Helvetica Neue" w:hAnsi="Helvetica Neue" w:cs="Helvetica Neue"/>
          <w:sz w:val="24"/>
          <w:szCs w:val="24"/>
        </w:rPr>
        <w:t>will</w:t>
      </w:r>
      <w:r>
        <w:rPr>
          <w:rFonts w:ascii="Helvetica Neue" w:eastAsia="Helvetica Neue" w:hAnsi="Helvetica Neue" w:cs="Helvetica Neue"/>
          <w:color w:val="000000"/>
          <w:sz w:val="24"/>
          <w:szCs w:val="24"/>
        </w:rPr>
        <w:t xml:space="preserve"> vary in their approach to unbund</w:t>
      </w:r>
      <w:r>
        <w:rPr>
          <w:rFonts w:ascii="Helvetica Neue" w:eastAsia="Helvetica Neue" w:hAnsi="Helvetica Neue" w:cs="Helvetica Neue"/>
          <w:sz w:val="24"/>
          <w:szCs w:val="24"/>
        </w:rPr>
        <w:t>ling</w:t>
      </w:r>
      <w:r>
        <w:rPr>
          <w:rFonts w:ascii="Helvetica Neue" w:eastAsia="Helvetica Neue" w:hAnsi="Helvetica Neue" w:cs="Helvetica Neue"/>
          <w:color w:val="000000"/>
          <w:sz w:val="24"/>
          <w:szCs w:val="24"/>
        </w:rPr>
        <w:t xml:space="preserve">, but there are common elements to setting fees that all practices should follow. First, identify all services and products, including hearing aids, that </w:t>
      </w:r>
      <w:r>
        <w:rPr>
          <w:rFonts w:ascii="Helvetica Neue" w:eastAsia="Helvetica Neue" w:hAnsi="Helvetica Neue" w:cs="Helvetica Neue"/>
          <w:sz w:val="24"/>
          <w:szCs w:val="24"/>
        </w:rPr>
        <w:t>will be</w:t>
      </w:r>
      <w:r>
        <w:rPr>
          <w:rFonts w:ascii="Helvetica Neue" w:eastAsia="Helvetica Neue" w:hAnsi="Helvetica Neue" w:cs="Helvetica Neue"/>
          <w:color w:val="000000"/>
          <w:sz w:val="24"/>
          <w:szCs w:val="24"/>
        </w:rPr>
        <w:t xml:space="preserve"> offered in the practice. </w:t>
      </w:r>
      <w:r>
        <w:rPr>
          <w:rFonts w:ascii="Helvetica Neue" w:eastAsia="Helvetica Neue" w:hAnsi="Helvetica Neue" w:cs="Helvetica Neue"/>
          <w:sz w:val="24"/>
          <w:szCs w:val="24"/>
        </w:rPr>
        <w:t>Some examples include</w:t>
      </w:r>
      <w:r>
        <w:rPr>
          <w:rFonts w:ascii="Helvetica Neue" w:eastAsia="Helvetica Neue" w:hAnsi="Helvetica Neue" w:cs="Helvetica Neue"/>
          <w:color w:val="000000"/>
          <w:sz w:val="24"/>
          <w:szCs w:val="24"/>
        </w:rPr>
        <w:t>:</w:t>
      </w:r>
    </w:p>
    <w:p w14:paraId="4A2B6FDF" w14:textId="77777777" w:rsidR="00BB4B7A" w:rsidRDefault="00BB4B7A">
      <w:pPr>
        <w:pBdr>
          <w:top w:val="nil"/>
          <w:left w:val="nil"/>
          <w:bottom w:val="nil"/>
          <w:right w:val="nil"/>
          <w:between w:val="nil"/>
        </w:pBdr>
        <w:spacing w:before="2"/>
        <w:rPr>
          <w:rFonts w:ascii="Helvetica Neue" w:eastAsia="Helvetica Neue" w:hAnsi="Helvetica Neue" w:cs="Helvetica Neue"/>
          <w:color w:val="000000"/>
          <w:sz w:val="24"/>
          <w:szCs w:val="24"/>
        </w:rPr>
      </w:pPr>
    </w:p>
    <w:p w14:paraId="7F6FA423"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hearing aid </w:t>
      </w:r>
      <w:r>
        <w:rPr>
          <w:rFonts w:ascii="Helvetica Neue" w:eastAsia="Helvetica Neue" w:hAnsi="Helvetica Neue" w:cs="Helvetica Neue"/>
          <w:sz w:val="24"/>
          <w:szCs w:val="24"/>
        </w:rPr>
        <w:t>evaluation/assessment</w:t>
      </w:r>
    </w:p>
    <w:p w14:paraId="78F8C2A8"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hearing </w:t>
      </w:r>
      <w:r>
        <w:rPr>
          <w:rFonts w:ascii="Helvetica Neue" w:eastAsia="Helvetica Neue" w:hAnsi="Helvetica Neue" w:cs="Helvetica Neue"/>
          <w:color w:val="000000"/>
          <w:sz w:val="24"/>
          <w:szCs w:val="24"/>
        </w:rPr>
        <w:t>device(s)</w:t>
      </w:r>
    </w:p>
    <w:p w14:paraId="7A508F41" w14:textId="77777777" w:rsidR="00BB4B7A" w:rsidRDefault="00000000">
      <w:pPr>
        <w:numPr>
          <w:ilvl w:val="2"/>
          <w:numId w:val="2"/>
        </w:numPr>
        <w:pBdr>
          <w:top w:val="nil"/>
          <w:left w:val="nil"/>
          <w:bottom w:val="nil"/>
          <w:right w:val="nil"/>
          <w:between w:val="nil"/>
        </w:pBdr>
        <w:spacing w:before="1"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dispensing fee</w:t>
      </w:r>
    </w:p>
    <w:p w14:paraId="7F94A3ED"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fitting/orientation/check</w:t>
      </w:r>
    </w:p>
    <w:p w14:paraId="0461A9EC" w14:textId="77777777" w:rsidR="00BB4B7A" w:rsidRDefault="00000000">
      <w:pPr>
        <w:numPr>
          <w:ilvl w:val="2"/>
          <w:numId w:val="2"/>
        </w:numPr>
        <w:pBdr>
          <w:top w:val="nil"/>
          <w:left w:val="nil"/>
          <w:bottom w:val="nil"/>
          <w:right w:val="nil"/>
          <w:between w:val="nil"/>
        </w:pBdr>
        <w:spacing w:before="2" w:line="269"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conformity evaluation</w:t>
      </w:r>
    </w:p>
    <w:p w14:paraId="31C068B9"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batteries/chargers</w:t>
      </w:r>
    </w:p>
    <w:p w14:paraId="3D7E5E91"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domes</w:t>
      </w:r>
    </w:p>
    <w:p w14:paraId="33FEC6F4" w14:textId="77777777" w:rsidR="00BB4B7A" w:rsidRDefault="00000000">
      <w:pPr>
        <w:numPr>
          <w:ilvl w:val="2"/>
          <w:numId w:val="2"/>
        </w:numPr>
        <w:pBdr>
          <w:top w:val="nil"/>
          <w:left w:val="nil"/>
          <w:bottom w:val="nil"/>
          <w:right w:val="nil"/>
          <w:between w:val="nil"/>
        </w:pBdr>
        <w:spacing w:before="34"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cerumen guards</w:t>
      </w:r>
    </w:p>
    <w:p w14:paraId="50235628"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earmolds</w:t>
      </w:r>
    </w:p>
    <w:p w14:paraId="76AD1C5D"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earmold impressions </w:t>
      </w:r>
    </w:p>
    <w:p w14:paraId="6A2601D6" w14:textId="77777777" w:rsidR="00BB4B7A" w:rsidRDefault="00000000">
      <w:pPr>
        <w:numPr>
          <w:ilvl w:val="2"/>
          <w:numId w:val="2"/>
        </w:numPr>
        <w:pBdr>
          <w:top w:val="nil"/>
          <w:left w:val="nil"/>
          <w:bottom w:val="nil"/>
          <w:right w:val="nil"/>
          <w:between w:val="nil"/>
        </w:pBdr>
        <w:spacing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accessories</w:t>
      </w:r>
    </w:p>
    <w:p w14:paraId="4F2157DE"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follow-up visits</w:t>
      </w:r>
    </w:p>
    <w:p w14:paraId="4D34B36B"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aural rehabilitation/counseling services</w:t>
      </w:r>
    </w:p>
    <w:p w14:paraId="79D3EC8E" w14:textId="77777777" w:rsidR="00BB4B7A" w:rsidRDefault="00000000">
      <w:pPr>
        <w:numPr>
          <w:ilvl w:val="2"/>
          <w:numId w:val="2"/>
        </w:numPr>
        <w:pBdr>
          <w:top w:val="nil"/>
          <w:left w:val="nil"/>
          <w:bottom w:val="nil"/>
          <w:right w:val="nil"/>
          <w:between w:val="nil"/>
        </w:pBdr>
        <w:spacing w:before="2" w:line="252" w:lineRule="auto"/>
        <w:ind w:left="2520" w:hanging="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Other services without a procedure code but require professional time, </w:t>
      </w:r>
      <w:proofErr w:type="spellStart"/>
      <w:r>
        <w:rPr>
          <w:rFonts w:ascii="Helvetica Neue" w:eastAsia="Helvetica Neue" w:hAnsi="Helvetica Neue" w:cs="Helvetica Neue"/>
          <w:sz w:val="24"/>
          <w:szCs w:val="24"/>
        </w:rPr>
        <w:t>ie</w:t>
      </w:r>
      <w:proofErr w:type="spellEnd"/>
      <w:r>
        <w:rPr>
          <w:rFonts w:ascii="Helvetica Neue" w:eastAsia="Helvetica Neue" w:hAnsi="Helvetica Neue" w:cs="Helvetica Neue"/>
          <w:sz w:val="24"/>
          <w:szCs w:val="24"/>
        </w:rPr>
        <w:t xml:space="preserve"> letter writing</w:t>
      </w:r>
    </w:p>
    <w:p w14:paraId="5226F7E0" w14:textId="77777777" w:rsidR="00BB4B7A" w:rsidRDefault="00BB4B7A">
      <w:pPr>
        <w:pBdr>
          <w:top w:val="nil"/>
          <w:left w:val="nil"/>
          <w:bottom w:val="nil"/>
          <w:right w:val="nil"/>
          <w:between w:val="nil"/>
        </w:pBdr>
        <w:spacing w:before="2" w:line="252" w:lineRule="auto"/>
        <w:ind w:left="2520"/>
        <w:rPr>
          <w:rFonts w:ascii="Helvetica Neue" w:eastAsia="Helvetica Neue" w:hAnsi="Helvetica Neue" w:cs="Helvetica Neue"/>
          <w:color w:val="000000"/>
          <w:sz w:val="24"/>
          <w:szCs w:val="24"/>
        </w:rPr>
      </w:pPr>
    </w:p>
    <w:p w14:paraId="3C00229E" w14:textId="77777777" w:rsidR="00BB4B7A" w:rsidRDefault="00000000">
      <w:pPr>
        <w:pBdr>
          <w:top w:val="nil"/>
          <w:left w:val="nil"/>
          <w:bottom w:val="nil"/>
          <w:right w:val="nil"/>
          <w:between w:val="nil"/>
        </w:pBdr>
        <w:ind w:left="1440" w:right="39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Second, </w:t>
      </w:r>
      <w:r>
        <w:rPr>
          <w:rFonts w:ascii="Helvetica Neue" w:eastAsia="Helvetica Neue" w:hAnsi="Helvetica Neue" w:cs="Helvetica Neue"/>
          <w:sz w:val="24"/>
          <w:szCs w:val="24"/>
        </w:rPr>
        <w:t xml:space="preserve">consider whether the practice will </w:t>
      </w:r>
      <w:r>
        <w:rPr>
          <w:rFonts w:ascii="Helvetica Neue" w:eastAsia="Helvetica Neue" w:hAnsi="Helvetica Neue" w:cs="Helvetica Neue"/>
          <w:color w:val="000000"/>
          <w:sz w:val="24"/>
          <w:szCs w:val="24"/>
        </w:rPr>
        <w:t xml:space="preserve">offer a post-warranty service package for office visits and services. These packages could be structured for the provision of basic or advanced services as defined by the practice. For example, a basic package could offer a one-year warranty on the device(s), a </w:t>
      </w:r>
      <w:r>
        <w:rPr>
          <w:rFonts w:ascii="Helvetica Neue" w:eastAsia="Helvetica Neue" w:hAnsi="Helvetica Neue" w:cs="Helvetica Neue"/>
          <w:sz w:val="24"/>
          <w:szCs w:val="24"/>
        </w:rPr>
        <w:t>predetermined</w:t>
      </w:r>
      <w:r>
        <w:rPr>
          <w:rFonts w:ascii="Helvetica Neue" w:eastAsia="Helvetica Neue" w:hAnsi="Helvetica Neue" w:cs="Helvetica Neue"/>
          <w:color w:val="000000"/>
          <w:sz w:val="24"/>
          <w:szCs w:val="24"/>
        </w:rPr>
        <w:t xml:space="preserve"> number of office visits, and a </w:t>
      </w:r>
      <w:r>
        <w:rPr>
          <w:rFonts w:ascii="Helvetica Neue" w:eastAsia="Helvetica Neue" w:hAnsi="Helvetica Neue" w:cs="Helvetica Neue"/>
          <w:sz w:val="24"/>
          <w:szCs w:val="24"/>
        </w:rPr>
        <w:t>predetermined</w:t>
      </w:r>
      <w:r>
        <w:rPr>
          <w:rFonts w:ascii="Helvetica Neue" w:eastAsia="Helvetica Neue" w:hAnsi="Helvetica Neue" w:cs="Helvetica Neue"/>
          <w:color w:val="000000"/>
          <w:sz w:val="24"/>
          <w:szCs w:val="24"/>
        </w:rPr>
        <w:t xml:space="preserve"> number of minor in-house repairs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A premium service package could include a longer warranty period, more office visits, and in-house repairs. The practice </w:t>
      </w:r>
      <w:r>
        <w:rPr>
          <w:rFonts w:ascii="Helvetica Neue" w:eastAsia="Helvetica Neue" w:hAnsi="Helvetica Neue" w:cs="Helvetica Neue"/>
          <w:sz w:val="24"/>
          <w:szCs w:val="24"/>
        </w:rPr>
        <w:t xml:space="preserve">may also want to extend service packages to </w:t>
      </w:r>
      <w:r>
        <w:rPr>
          <w:rFonts w:ascii="Helvetica Neue" w:eastAsia="Helvetica Neue" w:hAnsi="Helvetica Neue" w:cs="Helvetica Neue"/>
          <w:color w:val="000000"/>
          <w:sz w:val="24"/>
          <w:szCs w:val="24"/>
        </w:rPr>
        <w:t>patients who obtained their devices from another practitioner or through another delivery model.</w:t>
      </w:r>
    </w:p>
    <w:p w14:paraId="6C3CE3DC" w14:textId="77777777" w:rsidR="00BB4B7A" w:rsidRDefault="00BB4B7A">
      <w:pPr>
        <w:pBdr>
          <w:top w:val="nil"/>
          <w:left w:val="nil"/>
          <w:bottom w:val="nil"/>
          <w:right w:val="nil"/>
          <w:between w:val="nil"/>
        </w:pBdr>
        <w:spacing w:before="4"/>
        <w:rPr>
          <w:rFonts w:ascii="Helvetica Neue" w:eastAsia="Helvetica Neue" w:hAnsi="Helvetica Neue" w:cs="Helvetica Neue"/>
          <w:color w:val="000000"/>
          <w:sz w:val="24"/>
          <w:szCs w:val="24"/>
        </w:rPr>
      </w:pPr>
    </w:p>
    <w:p w14:paraId="76FE4E4D" w14:textId="77777777" w:rsidR="00BB4B7A" w:rsidRDefault="00000000">
      <w:pPr>
        <w:numPr>
          <w:ilvl w:val="1"/>
          <w:numId w:val="8"/>
        </w:numPr>
        <w:pBdr>
          <w:top w:val="nil"/>
          <w:left w:val="nil"/>
          <w:bottom w:val="nil"/>
          <w:right w:val="nil"/>
          <w:between w:val="nil"/>
        </w:pBdr>
        <w:ind w:left="1440" w:right="295" w:hanging="334"/>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Determine the </w:t>
      </w:r>
      <w:proofErr w:type="spellStart"/>
      <w:proofErr w:type="gramStart"/>
      <w:r>
        <w:rPr>
          <w:rFonts w:ascii="Helvetica Neue" w:eastAsia="Helvetica Neue" w:hAnsi="Helvetica Neue" w:cs="Helvetica Neue"/>
          <w:sz w:val="24"/>
          <w:szCs w:val="24"/>
        </w:rPr>
        <w:t>break even</w:t>
      </w:r>
      <w:proofErr w:type="spellEnd"/>
      <w:proofErr w:type="gramEnd"/>
      <w:r>
        <w:rPr>
          <w:rFonts w:ascii="Helvetica Neue" w:eastAsia="Helvetica Neue" w:hAnsi="Helvetica Neue" w:cs="Helvetica Neue"/>
          <w:sz w:val="24"/>
          <w:szCs w:val="24"/>
        </w:rPr>
        <w:t xml:space="preserve"> hourly rate for the practice</w:t>
      </w:r>
      <w:r>
        <w:rPr>
          <w:rFonts w:ascii="Helvetica Neue" w:eastAsia="Helvetica Neue" w:hAnsi="Helvetica Neue" w:cs="Helvetica Neue"/>
          <w:color w:val="000000"/>
          <w:sz w:val="24"/>
          <w:szCs w:val="24"/>
        </w:rPr>
        <w:t xml:space="preserve">. Professional service fees typically include costs incurred to provide services, such as overhead expenses [rent, staff (salaries, benefits), utilities, equipment, and supply costs, etc.] and time </w:t>
      </w:r>
      <w:r>
        <w:rPr>
          <w:rFonts w:ascii="Helvetica Neue" w:eastAsia="Helvetica Neue" w:hAnsi="Helvetica Neue" w:cs="Helvetica Neue"/>
          <w:color w:val="000000"/>
          <w:sz w:val="24"/>
          <w:szCs w:val="24"/>
        </w:rPr>
        <w:lastRenderedPageBreak/>
        <w:t>providing the service (to include charting, calls on behalf of the patient to other healthcare providers</w:t>
      </w:r>
      <w:r>
        <w:rPr>
          <w:rFonts w:ascii="Helvetica Neue" w:eastAsia="Helvetica Neue" w:hAnsi="Helvetica Neue" w:cs="Helvetica Neue"/>
          <w:sz w:val="24"/>
          <w:szCs w:val="24"/>
        </w:rPr>
        <w:t xml:space="preserve">, </w:t>
      </w:r>
      <w:r>
        <w:rPr>
          <w:rFonts w:ascii="Helvetica Neue" w:eastAsia="Helvetica Neue" w:hAnsi="Helvetica Neue" w:cs="Helvetica Neue"/>
          <w:color w:val="000000"/>
          <w:sz w:val="24"/>
          <w:szCs w:val="24"/>
        </w:rPr>
        <w:t xml:space="preserve">other follow-up care, etc.). </w:t>
      </w:r>
      <w:r>
        <w:rPr>
          <w:rFonts w:ascii="Helvetica Neue" w:eastAsia="Helvetica Neue" w:hAnsi="Helvetica Neue" w:cs="Helvetica Neue"/>
          <w:sz w:val="24"/>
          <w:szCs w:val="24"/>
        </w:rPr>
        <w:t xml:space="preserve">Knowing the </w:t>
      </w:r>
      <w:proofErr w:type="spellStart"/>
      <w:proofErr w:type="gramStart"/>
      <w:r>
        <w:rPr>
          <w:rFonts w:ascii="Helvetica Neue" w:eastAsia="Helvetica Neue" w:hAnsi="Helvetica Neue" w:cs="Helvetica Neue"/>
          <w:sz w:val="24"/>
          <w:szCs w:val="24"/>
        </w:rPr>
        <w:t>break even</w:t>
      </w:r>
      <w:proofErr w:type="spellEnd"/>
      <w:proofErr w:type="gramEnd"/>
      <w:r>
        <w:rPr>
          <w:rFonts w:ascii="Helvetica Neue" w:eastAsia="Helvetica Neue" w:hAnsi="Helvetica Neue" w:cs="Helvetica Neue"/>
          <w:sz w:val="24"/>
          <w:szCs w:val="24"/>
        </w:rPr>
        <w:t xml:space="preserve"> hourly rate is necessary </w:t>
      </w: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appropriately value the professional services (Step5).</w:t>
      </w:r>
    </w:p>
    <w:p w14:paraId="150EE905" w14:textId="77777777" w:rsidR="00BB4B7A" w:rsidRDefault="00BB4B7A">
      <w:pPr>
        <w:pBdr>
          <w:top w:val="nil"/>
          <w:left w:val="nil"/>
          <w:bottom w:val="nil"/>
          <w:right w:val="nil"/>
          <w:between w:val="nil"/>
        </w:pBdr>
        <w:ind w:left="1880" w:right="295"/>
        <w:rPr>
          <w:rFonts w:ascii="Helvetica Neue" w:eastAsia="Helvetica Neue" w:hAnsi="Helvetica Neue" w:cs="Helvetica Neue"/>
          <w:sz w:val="24"/>
          <w:szCs w:val="24"/>
        </w:rPr>
      </w:pPr>
    </w:p>
    <w:p w14:paraId="780E20D5" w14:textId="77777777" w:rsidR="00BB4B7A" w:rsidRDefault="00000000">
      <w:pPr>
        <w:pBdr>
          <w:top w:val="nil"/>
          <w:left w:val="nil"/>
          <w:bottom w:val="nil"/>
          <w:right w:val="nil"/>
          <w:between w:val="nil"/>
        </w:pBdr>
        <w:ind w:left="1880" w:right="295"/>
        <w:rPr>
          <w:rFonts w:ascii="Helvetica Neue" w:eastAsia="Helvetica Neue" w:hAnsi="Helvetica Neue" w:cs="Helvetica Neue"/>
          <w:sz w:val="24"/>
          <w:szCs w:val="24"/>
        </w:rPr>
      </w:pPr>
      <w:r>
        <w:rPr>
          <w:rFonts w:ascii="Helvetica Neue" w:eastAsia="Helvetica Neue" w:hAnsi="Helvetica Neue" w:cs="Helvetica Neue"/>
          <w:sz w:val="24"/>
          <w:szCs w:val="24"/>
        </w:rPr>
        <w:t>The link below can be easily used to calculate the hourly rate for a practice:</w:t>
      </w:r>
    </w:p>
    <w:p w14:paraId="510E782D" w14:textId="56947863" w:rsidR="00BB4B7A" w:rsidRPr="009606A4" w:rsidRDefault="002922A5">
      <w:pPr>
        <w:spacing w:before="196"/>
        <w:ind w:left="1880" w:right="767"/>
        <w:rPr>
          <w:rFonts w:ascii="Helvetica Neue" w:eastAsia="Helvetica Neue" w:hAnsi="Helvetica Neue" w:cs="Helvetica Neue"/>
          <w:color w:val="000000" w:themeColor="text1"/>
          <w:sz w:val="24"/>
          <w:szCs w:val="24"/>
        </w:rPr>
      </w:pPr>
      <w:hyperlink r:id="rId10" w:history="1">
        <w:r w:rsidR="00941C88">
          <w:rPr>
            <w:rStyle w:val="Hyperlink"/>
            <w:rFonts w:ascii="Helvetica Neue" w:eastAsia="Helvetica Neue" w:hAnsi="Helvetica Neue" w:cs="Helvetica Neue"/>
            <w:sz w:val="24"/>
            <w:szCs w:val="24"/>
          </w:rPr>
          <w:t>Download Worksheet</w:t>
        </w:r>
      </w:hyperlink>
    </w:p>
    <w:p w14:paraId="3325264C" w14:textId="77777777" w:rsidR="00BB4B7A" w:rsidRDefault="00BB4B7A">
      <w:pPr>
        <w:ind w:right="295"/>
        <w:rPr>
          <w:rFonts w:ascii="Helvetica Neue" w:eastAsia="Helvetica Neue" w:hAnsi="Helvetica Neue" w:cs="Helvetica Neue"/>
          <w:sz w:val="24"/>
          <w:szCs w:val="24"/>
        </w:rPr>
      </w:pPr>
    </w:p>
    <w:p w14:paraId="333B042E" w14:textId="77777777" w:rsidR="00BB4B7A" w:rsidRDefault="00000000">
      <w:pPr>
        <w:ind w:left="1440" w:right="295"/>
        <w:rPr>
          <w:rFonts w:ascii="Helvetica Neue" w:eastAsia="Helvetica Neue" w:hAnsi="Helvetica Neue" w:cs="Helvetica Neue"/>
          <w:sz w:val="24"/>
          <w:szCs w:val="24"/>
          <w:vertAlign w:val="superscript"/>
        </w:rPr>
      </w:pPr>
      <w:r>
        <w:rPr>
          <w:rFonts w:ascii="Helvetica Neue" w:eastAsia="Helvetica Neue" w:hAnsi="Helvetica Neue" w:cs="Helvetica Neue"/>
          <w:sz w:val="24"/>
          <w:szCs w:val="24"/>
        </w:rPr>
        <w:t>Key steps for determining hourly rate are listed in the table below:</w:t>
      </w:r>
      <w:r>
        <w:rPr>
          <w:rFonts w:ascii="Helvetica Neue" w:eastAsia="Helvetica Neue" w:hAnsi="Helvetica Neue" w:cs="Helvetica Neue"/>
          <w:sz w:val="24"/>
          <w:szCs w:val="24"/>
          <w:vertAlign w:val="superscript"/>
        </w:rPr>
        <w:footnoteReference w:id="2"/>
      </w:r>
    </w:p>
    <w:p w14:paraId="7A1C38FE" w14:textId="77777777" w:rsidR="00BB4B7A" w:rsidRDefault="00BB4B7A">
      <w:pPr>
        <w:ind w:left="1440" w:right="295"/>
        <w:rPr>
          <w:rFonts w:ascii="Helvetica Neue" w:eastAsia="Helvetica Neue" w:hAnsi="Helvetica Neue" w:cs="Helvetica Neue"/>
          <w:sz w:val="24"/>
          <w:szCs w:val="24"/>
          <w:vertAlign w:val="superscript"/>
        </w:rPr>
      </w:pPr>
    </w:p>
    <w:tbl>
      <w:tblPr>
        <w:tblStyle w:val="a0"/>
        <w:tblW w:w="1061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5"/>
      </w:tblGrid>
      <w:tr w:rsidR="00BB4B7A" w14:paraId="389EACAF" w14:textId="77777777">
        <w:trPr>
          <w:trHeight w:val="7370"/>
        </w:trPr>
        <w:tc>
          <w:tcPr>
            <w:tcW w:w="10615" w:type="dxa"/>
          </w:tcPr>
          <w:p w14:paraId="27C351C6" w14:textId="77777777" w:rsidR="00BB4B7A" w:rsidRDefault="00000000">
            <w:pPr>
              <w:numPr>
                <w:ilvl w:val="0"/>
                <w:numId w:val="3"/>
              </w:numPr>
              <w:pBdr>
                <w:top w:val="nil"/>
                <w:left w:val="nil"/>
                <w:bottom w:val="nil"/>
                <w:right w:val="nil"/>
                <w:between w:val="nil"/>
              </w:pBdr>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Establish Annual Contact Hours:</w:t>
            </w:r>
          </w:p>
          <w:p w14:paraId="0B24E92E" w14:textId="77777777" w:rsidR="00BB4B7A" w:rsidRDefault="00000000">
            <w:pPr>
              <w:numPr>
                <w:ilvl w:val="1"/>
                <w:numId w:val="7"/>
              </w:numPr>
              <w:pBdr>
                <w:top w:val="nil"/>
                <w:left w:val="nil"/>
                <w:bottom w:val="nil"/>
                <w:right w:val="nil"/>
                <w:between w:val="nil"/>
              </w:pBdr>
              <w:spacing w:before="36" w:line="276" w:lineRule="auto"/>
              <w:ind w:left="1059" w:right="697"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Determine how many hours per week are spent in providing direct patient care. Although the practice may operate 40 hours per week, consider the non-billable time as well (this is time that is spent that cannot be billed to patients or insurers). </w:t>
            </w:r>
          </w:p>
          <w:p w14:paraId="221251CB" w14:textId="77777777" w:rsidR="00BB4B7A" w:rsidRDefault="00000000">
            <w:pPr>
              <w:numPr>
                <w:ilvl w:val="1"/>
                <w:numId w:val="7"/>
              </w:numPr>
              <w:pBdr>
                <w:top w:val="nil"/>
                <w:left w:val="nil"/>
                <w:bottom w:val="nil"/>
                <w:right w:val="nil"/>
                <w:between w:val="nil"/>
              </w:pBdr>
              <w:spacing w:line="273" w:lineRule="auto"/>
              <w:ind w:left="1059" w:right="436"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Calculate the number of weeks/hours per year that patient care services are </w:t>
            </w:r>
            <w:proofErr w:type="gramStart"/>
            <w:r>
              <w:rPr>
                <w:rFonts w:ascii="Helvetica Neue" w:eastAsia="Helvetica Neue" w:hAnsi="Helvetica Neue" w:cs="Helvetica Neue"/>
                <w:color w:val="000000"/>
                <w:sz w:val="24"/>
                <w:szCs w:val="24"/>
              </w:rPr>
              <w:t>actually provided</w:t>
            </w:r>
            <w:proofErr w:type="gramEnd"/>
            <w:r>
              <w:rPr>
                <w:rFonts w:ascii="Helvetica Neue" w:eastAsia="Helvetica Neue" w:hAnsi="Helvetica Neue" w:cs="Helvetica Neue"/>
                <w:color w:val="000000"/>
                <w:sz w:val="24"/>
                <w:szCs w:val="24"/>
              </w:rPr>
              <w:t xml:space="preserve"> (factor in holidays, vacation, sick and professional leave).</w:t>
            </w:r>
          </w:p>
          <w:p w14:paraId="33D8A88C" w14:textId="77777777" w:rsidR="00BB4B7A" w:rsidRDefault="00000000">
            <w:pPr>
              <w:numPr>
                <w:ilvl w:val="1"/>
                <w:numId w:val="7"/>
              </w:numPr>
              <w:pBdr>
                <w:top w:val="nil"/>
                <w:left w:val="nil"/>
                <w:bottom w:val="nil"/>
                <w:right w:val="nil"/>
                <w:between w:val="nil"/>
              </w:pBdr>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Determine the number of providers in the practice (include audiology </w:t>
            </w:r>
            <w:r>
              <w:rPr>
                <w:rFonts w:ascii="Helvetica Neue" w:eastAsia="Helvetica Neue" w:hAnsi="Helvetica Neue" w:cs="Helvetica Neue"/>
                <w:sz w:val="24"/>
                <w:szCs w:val="24"/>
              </w:rPr>
              <w:t>assistants</w:t>
            </w:r>
            <w:r>
              <w:rPr>
                <w:rFonts w:ascii="Helvetica Neue" w:eastAsia="Helvetica Neue" w:hAnsi="Helvetica Neue" w:cs="Helvetica Neue"/>
                <w:color w:val="000000"/>
                <w:sz w:val="24"/>
                <w:szCs w:val="24"/>
              </w:rPr>
              <w:t>).</w:t>
            </w:r>
          </w:p>
          <w:p w14:paraId="19C6C77F" w14:textId="77777777" w:rsidR="00BB4B7A" w:rsidRDefault="00000000">
            <w:pPr>
              <w:numPr>
                <w:ilvl w:val="1"/>
                <w:numId w:val="7"/>
              </w:numPr>
              <w:pBdr>
                <w:top w:val="nil"/>
                <w:left w:val="nil"/>
                <w:bottom w:val="nil"/>
                <w:right w:val="nil"/>
                <w:between w:val="nil"/>
              </w:pBdr>
              <w:spacing w:before="37"/>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Multiply the hours per week by weeks per year by the number of providers.</w:t>
            </w:r>
          </w:p>
          <w:p w14:paraId="79E0154C" w14:textId="77777777" w:rsidR="00BB4B7A" w:rsidRDefault="00000000">
            <w:pPr>
              <w:numPr>
                <w:ilvl w:val="0"/>
                <w:numId w:val="3"/>
              </w:numPr>
              <w:pBdr>
                <w:top w:val="nil"/>
                <w:left w:val="nil"/>
                <w:bottom w:val="nil"/>
                <w:right w:val="nil"/>
                <w:between w:val="nil"/>
              </w:pBdr>
              <w:spacing w:before="39" w:line="276" w:lineRule="auto"/>
              <w:ind w:left="519" w:right="3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Calculate the operating costs for the practice. Ideally this would be broken down into several expense categories, such as:</w:t>
            </w:r>
          </w:p>
          <w:p w14:paraId="249DED5C" w14:textId="77777777" w:rsidR="00BB4B7A" w:rsidRDefault="00000000">
            <w:pPr>
              <w:numPr>
                <w:ilvl w:val="1"/>
                <w:numId w:val="7"/>
              </w:numPr>
              <w:pBdr>
                <w:top w:val="nil"/>
                <w:left w:val="nil"/>
                <w:bottom w:val="nil"/>
                <w:right w:val="nil"/>
                <w:between w:val="nil"/>
              </w:pBdr>
              <w:spacing w:line="267" w:lineRule="auto"/>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clinical and support personnel (</w:t>
            </w:r>
            <w:r>
              <w:rPr>
                <w:rFonts w:ascii="Helvetica Neue" w:eastAsia="Helvetica Neue" w:hAnsi="Helvetica Neue" w:cs="Helvetica Neue"/>
                <w:color w:val="000000"/>
                <w:sz w:val="24"/>
                <w:szCs w:val="24"/>
              </w:rPr>
              <w:t>salary/benefits),</w:t>
            </w:r>
          </w:p>
          <w:p w14:paraId="59A7B9DD" w14:textId="77777777" w:rsidR="00BB4B7A" w:rsidRDefault="00000000">
            <w:pPr>
              <w:numPr>
                <w:ilvl w:val="1"/>
                <w:numId w:val="7"/>
              </w:numPr>
              <w:pBdr>
                <w:top w:val="nil"/>
                <w:left w:val="nil"/>
                <w:bottom w:val="nil"/>
                <w:right w:val="nil"/>
                <w:between w:val="nil"/>
              </w:pBdr>
              <w:spacing w:before="37"/>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 xml:space="preserve">clinic expenses </w:t>
            </w:r>
            <w:r>
              <w:rPr>
                <w:rFonts w:ascii="Helvetica Neue" w:eastAsia="Helvetica Neue" w:hAnsi="Helvetica Neue" w:cs="Helvetica Neue"/>
                <w:color w:val="000000"/>
                <w:sz w:val="24"/>
                <w:szCs w:val="24"/>
              </w:rPr>
              <w:t>(rent, utilities, communications technology, marketing, etc.)</w:t>
            </w:r>
          </w:p>
          <w:p w14:paraId="12922C27" w14:textId="77777777" w:rsidR="00BB4B7A" w:rsidRDefault="00000000">
            <w:pPr>
              <w:numPr>
                <w:ilvl w:val="1"/>
                <w:numId w:val="7"/>
              </w:numPr>
              <w:pBdr>
                <w:top w:val="nil"/>
                <w:left w:val="nil"/>
                <w:bottom w:val="nil"/>
                <w:right w:val="nil"/>
                <w:between w:val="nil"/>
              </w:pBdr>
              <w:spacing w:before="38"/>
              <w:ind w:left="1059" w:hanging="270"/>
              <w:rPr>
                <w:rFonts w:ascii="Helvetica Neue" w:eastAsia="Helvetica Neue" w:hAnsi="Helvetica Neue" w:cs="Helvetica Neue"/>
                <w:color w:val="000000"/>
                <w:sz w:val="24"/>
                <w:szCs w:val="24"/>
              </w:rPr>
            </w:pPr>
            <w:r>
              <w:rPr>
                <w:rFonts w:ascii="Helvetica Neue" w:eastAsia="Helvetica Neue" w:hAnsi="Helvetica Neue" w:cs="Helvetica Neue"/>
                <w:i/>
                <w:color w:val="000000"/>
                <w:sz w:val="24"/>
                <w:szCs w:val="24"/>
              </w:rPr>
              <w:t xml:space="preserve">cost of goods </w:t>
            </w:r>
            <w:r>
              <w:rPr>
                <w:rFonts w:ascii="Helvetica Neue" w:eastAsia="Helvetica Neue" w:hAnsi="Helvetica Neue" w:cs="Helvetica Neue"/>
                <w:color w:val="000000"/>
                <w:sz w:val="24"/>
                <w:szCs w:val="24"/>
              </w:rPr>
              <w:t>(all things you buy for resale).</w:t>
            </w:r>
          </w:p>
          <w:p w14:paraId="0CB497FB" w14:textId="77777777" w:rsidR="00BB4B7A" w:rsidRDefault="00000000">
            <w:pPr>
              <w:numPr>
                <w:ilvl w:val="0"/>
                <w:numId w:val="3"/>
              </w:numPr>
              <w:pBdr>
                <w:top w:val="nil"/>
                <w:left w:val="nil"/>
                <w:bottom w:val="nil"/>
                <w:right w:val="nil"/>
                <w:between w:val="nil"/>
              </w:pBdr>
              <w:spacing w:before="39"/>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Determine the break-even hourly rate.</w:t>
            </w:r>
          </w:p>
          <w:p w14:paraId="07373A6D" w14:textId="77777777" w:rsidR="00BB4B7A" w:rsidRDefault="00000000">
            <w:pPr>
              <w:numPr>
                <w:ilvl w:val="1"/>
                <w:numId w:val="7"/>
              </w:numPr>
              <w:pBdr>
                <w:top w:val="nil"/>
                <w:left w:val="nil"/>
                <w:bottom w:val="nil"/>
                <w:right w:val="nil"/>
                <w:between w:val="nil"/>
              </w:pBdr>
              <w:spacing w:before="36"/>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Subtract the cost of goods from total annual clinic </w:t>
            </w:r>
            <w:proofErr w:type="gramStart"/>
            <w:r>
              <w:rPr>
                <w:rFonts w:ascii="Helvetica Neue" w:eastAsia="Helvetica Neue" w:hAnsi="Helvetica Neue" w:cs="Helvetica Neue"/>
                <w:color w:val="000000"/>
                <w:sz w:val="24"/>
                <w:szCs w:val="24"/>
              </w:rPr>
              <w:t>expenses, and</w:t>
            </w:r>
            <w:proofErr w:type="gramEnd"/>
            <w:r>
              <w:rPr>
                <w:rFonts w:ascii="Helvetica Neue" w:eastAsia="Helvetica Neue" w:hAnsi="Helvetica Neue" w:cs="Helvetica Neue"/>
                <w:color w:val="000000"/>
                <w:sz w:val="24"/>
                <w:szCs w:val="24"/>
              </w:rPr>
              <w:t xml:space="preserve"> divide the remaining amount by the ‘annual contact hours’ established in step one.</w:t>
            </w:r>
          </w:p>
          <w:p w14:paraId="6CC90A96" w14:textId="77777777" w:rsidR="00BB4B7A" w:rsidRDefault="00000000">
            <w:pPr>
              <w:numPr>
                <w:ilvl w:val="1"/>
                <w:numId w:val="7"/>
              </w:numPr>
              <w:pBdr>
                <w:top w:val="nil"/>
                <w:left w:val="nil"/>
                <w:bottom w:val="nil"/>
                <w:right w:val="nil"/>
                <w:between w:val="nil"/>
              </w:pBdr>
              <w:spacing w:before="36"/>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This is the break-even hourly rate in an unbundled model.</w:t>
            </w:r>
          </w:p>
          <w:p w14:paraId="77A81606" w14:textId="77777777" w:rsidR="00BB4B7A" w:rsidRDefault="00000000">
            <w:pPr>
              <w:numPr>
                <w:ilvl w:val="0"/>
                <w:numId w:val="3"/>
              </w:numPr>
              <w:pBdr>
                <w:top w:val="nil"/>
                <w:left w:val="nil"/>
                <w:bottom w:val="nil"/>
                <w:right w:val="nil"/>
                <w:between w:val="nil"/>
              </w:pBdr>
              <w:spacing w:before="39"/>
              <w:ind w:left="519"/>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Add-in desired profit margin</w:t>
            </w:r>
          </w:p>
          <w:p w14:paraId="0661D600" w14:textId="77777777" w:rsidR="00BB4B7A" w:rsidRDefault="00000000">
            <w:pPr>
              <w:numPr>
                <w:ilvl w:val="1"/>
                <w:numId w:val="7"/>
              </w:numPr>
              <w:pBdr>
                <w:top w:val="nil"/>
                <w:left w:val="nil"/>
                <w:bottom w:val="nil"/>
                <w:right w:val="nil"/>
                <w:between w:val="nil"/>
              </w:pBdr>
              <w:spacing w:before="37" w:line="273" w:lineRule="auto"/>
              <w:ind w:left="1059" w:right="698"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Take annual expenses less cost of goods, add desired profit and divide this number by the annual contact hours.</w:t>
            </w:r>
          </w:p>
          <w:p w14:paraId="725B6E2D" w14:textId="77777777" w:rsidR="00BB4B7A" w:rsidRDefault="00000000">
            <w:pPr>
              <w:numPr>
                <w:ilvl w:val="1"/>
                <w:numId w:val="7"/>
              </w:numPr>
              <w:pBdr>
                <w:top w:val="nil"/>
                <w:left w:val="nil"/>
                <w:bottom w:val="nil"/>
                <w:right w:val="nil"/>
                <w:between w:val="nil"/>
              </w:pBdr>
              <w:spacing w:before="3"/>
              <w:ind w:left="1059" w:hanging="270"/>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This is the hourly rate including the desired profit margin.</w:t>
            </w:r>
          </w:p>
        </w:tc>
      </w:tr>
    </w:tbl>
    <w:p w14:paraId="3A5384A0" w14:textId="77777777" w:rsidR="00BB4B7A" w:rsidRDefault="00BB4B7A">
      <w:pPr>
        <w:pBdr>
          <w:top w:val="nil"/>
          <w:left w:val="nil"/>
          <w:bottom w:val="nil"/>
          <w:right w:val="nil"/>
          <w:between w:val="nil"/>
        </w:pBdr>
        <w:spacing w:before="9"/>
        <w:rPr>
          <w:rFonts w:ascii="Helvetica Neue" w:eastAsia="Helvetica Neue" w:hAnsi="Helvetica Neue" w:cs="Helvetica Neue"/>
          <w:color w:val="000000"/>
          <w:sz w:val="24"/>
          <w:szCs w:val="24"/>
        </w:rPr>
      </w:pPr>
    </w:p>
    <w:p w14:paraId="3113B9CE" w14:textId="77777777" w:rsidR="00BB4B7A" w:rsidRDefault="00000000">
      <w:pPr>
        <w:numPr>
          <w:ilvl w:val="1"/>
          <w:numId w:val="8"/>
        </w:numPr>
        <w:pBdr>
          <w:top w:val="nil"/>
          <w:left w:val="nil"/>
          <w:bottom w:val="nil"/>
          <w:right w:val="nil"/>
          <w:between w:val="nil"/>
        </w:pBdr>
        <w:spacing w:before="34"/>
        <w:ind w:right="416"/>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Assign procedure codes for all services th</w:t>
      </w:r>
      <w:r>
        <w:rPr>
          <w:rFonts w:ascii="Helvetica Neue" w:eastAsia="Helvetica Neue" w:hAnsi="Helvetica Neue" w:cs="Helvetica Neue"/>
          <w:sz w:val="24"/>
          <w:szCs w:val="24"/>
        </w:rPr>
        <w:t>e practice will provide</w:t>
      </w:r>
      <w:r>
        <w:rPr>
          <w:rFonts w:ascii="Helvetica Neue" w:eastAsia="Helvetica Neue" w:hAnsi="Helvetica Neue" w:cs="Helvetica Neue"/>
          <w:color w:val="000000"/>
          <w:sz w:val="24"/>
          <w:szCs w:val="24"/>
        </w:rPr>
        <w:t xml:space="preserve">. Note: there are currently no nationally agreed-upon definitions for many of the hearing aid procedure codes. Having </w:t>
      </w:r>
      <w:r>
        <w:rPr>
          <w:rFonts w:ascii="Helvetica Neue" w:eastAsia="Helvetica Neue" w:hAnsi="Helvetica Neue" w:cs="Helvetica Neue"/>
          <w:sz w:val="24"/>
          <w:szCs w:val="24"/>
        </w:rPr>
        <w:t>CPT or HCPCS</w:t>
      </w:r>
      <w:r>
        <w:rPr>
          <w:rFonts w:ascii="Helvetica Neue" w:eastAsia="Helvetica Neue" w:hAnsi="Helvetica Neue" w:cs="Helvetica Neue"/>
          <w:color w:val="000000"/>
          <w:sz w:val="24"/>
          <w:szCs w:val="24"/>
        </w:rPr>
        <w:t xml:space="preserve"> codes assigned to procedures is not necessary unless insurance claims are submitted, however assigning codes for all services is good business practice for compliance and for internal reporting</w:t>
      </w:r>
      <w:r>
        <w:rPr>
          <w:rFonts w:ascii="Helvetica Neue" w:eastAsia="Helvetica Neue" w:hAnsi="Helvetica Neue" w:cs="Helvetica Neue"/>
          <w:sz w:val="24"/>
          <w:szCs w:val="24"/>
        </w:rPr>
        <w:t>/</w:t>
      </w:r>
      <w:r>
        <w:rPr>
          <w:rFonts w:ascii="Helvetica Neue" w:eastAsia="Helvetica Neue" w:hAnsi="Helvetica Neue" w:cs="Helvetica Neue"/>
          <w:color w:val="000000"/>
          <w:sz w:val="24"/>
          <w:szCs w:val="24"/>
        </w:rPr>
        <w:t xml:space="preserve">tracking purposes. </w:t>
      </w:r>
    </w:p>
    <w:p w14:paraId="5CCBD8D8"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134ABB7A" w14:textId="77777777" w:rsidR="00BB4B7A" w:rsidRDefault="00000000">
      <w:pPr>
        <w:pBdr>
          <w:top w:val="nil"/>
          <w:left w:val="nil"/>
          <w:bottom w:val="nil"/>
          <w:right w:val="nil"/>
          <w:between w:val="nil"/>
        </w:pBdr>
        <w:spacing w:before="34"/>
        <w:ind w:left="1880" w:right="41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It is important to also recognize that there will not be an associated procedure code for all professional services or accessories. When a code does not exist, that does not imply that the service(s) should be provided at no </w:t>
      </w:r>
      <w:r>
        <w:rPr>
          <w:rFonts w:ascii="Helvetica Neue" w:eastAsia="Helvetica Neue" w:hAnsi="Helvetica Neue" w:cs="Helvetica Neue"/>
          <w:sz w:val="24"/>
          <w:szCs w:val="24"/>
        </w:rPr>
        <w:lastRenderedPageBreak/>
        <w:t>charge. Patients should be billed directly for such services/devices. Some practice management systems will allow for the creation of non-billable ‘codes’ for self-pay services. Practices should work with their practice management vendor to determine if development of such codes is an option.</w:t>
      </w:r>
    </w:p>
    <w:p w14:paraId="3506E51A"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648FEF9C" w14:textId="77777777" w:rsidR="00BB4B7A" w:rsidRDefault="00000000">
      <w:pPr>
        <w:pBdr>
          <w:top w:val="nil"/>
          <w:left w:val="nil"/>
          <w:bottom w:val="nil"/>
          <w:right w:val="nil"/>
          <w:between w:val="nil"/>
        </w:pBdr>
        <w:spacing w:before="34"/>
        <w:ind w:left="1880" w:right="41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choosing procedure codes to represent hearing devices and professional services, it is helpful to understand the contracted rate paid by insurance payers for those devices and services. It may be in the best interests of the practice, and lower out-of-pocket expenses for patients, to use HCPCS codes instead of CPT codes for some services. </w:t>
      </w:r>
    </w:p>
    <w:p w14:paraId="00E8135C" w14:textId="77777777" w:rsidR="00BB4B7A" w:rsidRDefault="00BB4B7A">
      <w:pPr>
        <w:pBdr>
          <w:top w:val="nil"/>
          <w:left w:val="nil"/>
          <w:bottom w:val="nil"/>
          <w:right w:val="nil"/>
          <w:between w:val="nil"/>
        </w:pBdr>
        <w:spacing w:before="34"/>
        <w:ind w:left="1880" w:right="416"/>
        <w:rPr>
          <w:rFonts w:ascii="Helvetica Neue" w:eastAsia="Helvetica Neue" w:hAnsi="Helvetica Neue" w:cs="Helvetica Neue"/>
          <w:sz w:val="24"/>
          <w:szCs w:val="24"/>
        </w:rPr>
      </w:pPr>
    </w:p>
    <w:p w14:paraId="623B622C" w14:textId="77777777" w:rsidR="00BB4B7A" w:rsidRDefault="00000000">
      <w:pPr>
        <w:spacing w:before="34"/>
        <w:ind w:left="1800" w:right="416"/>
        <w:rPr>
          <w:rFonts w:ascii="Helvetica Neue" w:eastAsia="Helvetica Neue" w:hAnsi="Helvetica Neue" w:cs="Helvetica Neue"/>
          <w:sz w:val="24"/>
          <w:szCs w:val="24"/>
        </w:rPr>
      </w:pPr>
      <w:r>
        <w:rPr>
          <w:rFonts w:ascii="Helvetica Neue" w:eastAsia="Helvetica Neue" w:hAnsi="Helvetica Neue" w:cs="Helvetica Neue"/>
          <w:sz w:val="24"/>
          <w:szCs w:val="24"/>
        </w:rPr>
        <w:t>Third-party payers (TPAs) may have different interpretations of which specific codes can be used to identify certain procedures for payment. If a practice is in-network for TPA plans, be sure to know specific coding requirements of insurers and adhere to those guidelines when submitting claims.</w:t>
      </w:r>
    </w:p>
    <w:p w14:paraId="1B322334" w14:textId="77777777" w:rsidR="00BB4B7A" w:rsidRDefault="00BB4B7A">
      <w:pPr>
        <w:pBdr>
          <w:top w:val="nil"/>
          <w:left w:val="nil"/>
          <w:bottom w:val="nil"/>
          <w:right w:val="nil"/>
          <w:between w:val="nil"/>
        </w:pBdr>
        <w:spacing w:before="34"/>
        <w:ind w:right="416"/>
        <w:rPr>
          <w:rFonts w:ascii="Helvetica Neue" w:eastAsia="Helvetica Neue" w:hAnsi="Helvetica Neue" w:cs="Helvetica Neue"/>
          <w:sz w:val="24"/>
          <w:szCs w:val="24"/>
        </w:rPr>
      </w:pPr>
    </w:p>
    <w:p w14:paraId="6D7D5270" w14:textId="77777777" w:rsidR="00BB4B7A" w:rsidRDefault="00000000">
      <w:pPr>
        <w:numPr>
          <w:ilvl w:val="1"/>
          <w:numId w:val="8"/>
        </w:numPr>
        <w:spacing w:before="34"/>
        <w:ind w:right="416"/>
        <w:rPr>
          <w:rFonts w:ascii="Helvetica Neue" w:eastAsia="Helvetica Neue" w:hAnsi="Helvetica Neue" w:cs="Helvetica Neue"/>
          <w:sz w:val="24"/>
          <w:szCs w:val="24"/>
        </w:rPr>
      </w:pPr>
      <w:r>
        <w:rPr>
          <w:rFonts w:ascii="Helvetica Neue" w:eastAsia="Helvetica Neue" w:hAnsi="Helvetica Neue" w:cs="Helvetica Neue"/>
          <w:sz w:val="24"/>
          <w:szCs w:val="24"/>
        </w:rPr>
        <w:t>Based on the hourly rate for the practice, determine fees for the services that will be provided. Professional fees should not only take into consideration the amount of time it takes to perform the service, but also the knowledge and expertise required for that service. i.e. It is ok for a service to cost more than the practice’s hourly rate.</w:t>
      </w:r>
    </w:p>
    <w:p w14:paraId="07645769" w14:textId="77777777" w:rsidR="00BB4B7A" w:rsidRDefault="00BB4B7A">
      <w:pPr>
        <w:spacing w:before="34"/>
        <w:ind w:right="416"/>
        <w:rPr>
          <w:rFonts w:ascii="Helvetica Neue" w:eastAsia="Helvetica Neue" w:hAnsi="Helvetica Neue" w:cs="Helvetica Neue"/>
          <w:sz w:val="24"/>
          <w:szCs w:val="24"/>
        </w:rPr>
      </w:pPr>
    </w:p>
    <w:p w14:paraId="2F7A04ED" w14:textId="77777777" w:rsidR="00BB4B7A" w:rsidRDefault="00000000">
      <w:pPr>
        <w:pStyle w:val="Heading2"/>
        <w:ind w:left="0"/>
        <w:rPr>
          <w:rFonts w:ascii="Helvetica Neue" w:eastAsia="Helvetica Neue" w:hAnsi="Helvetica Neue" w:cs="Helvetica Neue"/>
          <w:sz w:val="24"/>
          <w:szCs w:val="24"/>
        </w:rPr>
      </w:pPr>
      <w:r>
        <w:rPr>
          <w:rFonts w:ascii="Helvetica Neue" w:eastAsia="Helvetica Neue" w:hAnsi="Helvetica Neue" w:cs="Helvetica Neue"/>
          <w:sz w:val="24"/>
          <w:szCs w:val="24"/>
        </w:rPr>
        <w:t>Considerations for Itemizing for Insurance</w:t>
      </w:r>
    </w:p>
    <w:p w14:paraId="771BD142"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Get fee schedules for all insurances you are contracted with. See page 1.</w:t>
      </w:r>
    </w:p>
    <w:p w14:paraId="0137D707"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color w:val="000000"/>
          <w:sz w:val="24"/>
          <w:szCs w:val="24"/>
        </w:rPr>
      </w:pP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optimize insurance reimbursement, </w:t>
      </w:r>
      <w:r>
        <w:rPr>
          <w:rFonts w:ascii="Helvetica Neue" w:eastAsia="Helvetica Neue" w:hAnsi="Helvetica Neue" w:cs="Helvetica Neue"/>
          <w:color w:val="000000"/>
          <w:sz w:val="24"/>
          <w:szCs w:val="24"/>
        </w:rPr>
        <w:t xml:space="preserve">be sure to itemize </w:t>
      </w:r>
      <w:r>
        <w:rPr>
          <w:rFonts w:ascii="Helvetica Neue" w:eastAsia="Helvetica Neue" w:hAnsi="Helvetica Neue" w:cs="Helvetica Neue"/>
          <w:sz w:val="24"/>
          <w:szCs w:val="24"/>
        </w:rPr>
        <w:t xml:space="preserve">the hearing devices and all professional services. </w:t>
      </w:r>
      <w:proofErr w:type="gramStart"/>
      <w:r>
        <w:rPr>
          <w:rFonts w:ascii="Helvetica Neue" w:eastAsia="Helvetica Neue" w:hAnsi="Helvetica Neue" w:cs="Helvetica Neue"/>
          <w:color w:val="000000"/>
          <w:sz w:val="24"/>
          <w:szCs w:val="24"/>
        </w:rPr>
        <w:t>As long as</w:t>
      </w:r>
      <w:proofErr w:type="gramEnd"/>
      <w:r>
        <w:rPr>
          <w:rFonts w:ascii="Helvetica Neue" w:eastAsia="Helvetica Neue" w:hAnsi="Helvetica Neue" w:cs="Helvetica Neue"/>
          <w:color w:val="000000"/>
          <w:sz w:val="24"/>
          <w:szCs w:val="24"/>
        </w:rPr>
        <w:t xml:space="preserve"> </w:t>
      </w:r>
      <w:r>
        <w:rPr>
          <w:rFonts w:ascii="Helvetica Neue" w:eastAsia="Helvetica Neue" w:hAnsi="Helvetica Neue" w:cs="Helvetica Neue"/>
          <w:sz w:val="24"/>
          <w:szCs w:val="24"/>
        </w:rPr>
        <w:t>a procedure</w:t>
      </w:r>
      <w:r>
        <w:rPr>
          <w:rFonts w:ascii="Helvetica Neue" w:eastAsia="Helvetica Neue" w:hAnsi="Helvetica Neue" w:cs="Helvetica Neue"/>
          <w:color w:val="000000"/>
          <w:sz w:val="24"/>
          <w:szCs w:val="24"/>
        </w:rPr>
        <w:t xml:space="preserve"> is not contractually excluded, patients should expect to pay for professional services </w:t>
      </w:r>
      <w:r>
        <w:rPr>
          <w:rFonts w:ascii="Helvetica Neue" w:eastAsia="Helvetica Neue" w:hAnsi="Helvetica Neue" w:cs="Helvetica Neue"/>
          <w:sz w:val="24"/>
          <w:szCs w:val="24"/>
        </w:rPr>
        <w:t>for which insurance does not reimburse</w:t>
      </w:r>
      <w:r>
        <w:rPr>
          <w:rFonts w:ascii="Helvetica Neue" w:eastAsia="Helvetica Neue" w:hAnsi="Helvetica Neue" w:cs="Helvetica Neue"/>
          <w:color w:val="000000"/>
          <w:sz w:val="24"/>
          <w:szCs w:val="24"/>
        </w:rPr>
        <w:t>. W</w:t>
      </w:r>
      <w:r>
        <w:rPr>
          <w:rFonts w:ascii="Helvetica Neue" w:eastAsia="Helvetica Neue" w:hAnsi="Helvetica Neue" w:cs="Helvetica Neue"/>
          <w:sz w:val="24"/>
          <w:szCs w:val="24"/>
        </w:rPr>
        <w:t xml:space="preserve">hen billing for Medicaid, check with the state </w:t>
      </w:r>
      <w:r>
        <w:rPr>
          <w:rFonts w:ascii="Helvetica Neue" w:eastAsia="Helvetica Neue" w:hAnsi="Helvetica Neue" w:cs="Helvetica Neue"/>
          <w:color w:val="000000"/>
          <w:sz w:val="24"/>
          <w:szCs w:val="24"/>
        </w:rPr>
        <w:t>Medicaid program to verify if hearing aids are considered durab</w:t>
      </w:r>
      <w:r>
        <w:rPr>
          <w:rFonts w:ascii="Helvetica Neue" w:eastAsia="Helvetica Neue" w:hAnsi="Helvetica Neue" w:cs="Helvetica Neue"/>
          <w:sz w:val="24"/>
          <w:szCs w:val="24"/>
        </w:rPr>
        <w:t>le medical equipment (</w:t>
      </w:r>
      <w:r>
        <w:rPr>
          <w:rFonts w:ascii="Helvetica Neue" w:eastAsia="Helvetica Neue" w:hAnsi="Helvetica Neue" w:cs="Helvetica Neue"/>
          <w:color w:val="000000"/>
          <w:sz w:val="24"/>
          <w:szCs w:val="24"/>
        </w:rPr>
        <w:t>DME).</w:t>
      </w:r>
    </w:p>
    <w:p w14:paraId="5640D95F"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 xml:space="preserve">States differ in the regulations that dictate reimbursement for hearing devices and related services. </w:t>
      </w:r>
      <w:proofErr w:type="gramStart"/>
      <w:r>
        <w:rPr>
          <w:rFonts w:ascii="Helvetica Neue" w:eastAsia="Helvetica Neue" w:hAnsi="Helvetica Neue" w:cs="Helvetica Neue"/>
          <w:sz w:val="24"/>
          <w:szCs w:val="24"/>
        </w:rPr>
        <w:t>Generally speaking, when</w:t>
      </w:r>
      <w:proofErr w:type="gramEnd"/>
      <w:r>
        <w:rPr>
          <w:rFonts w:ascii="Helvetica Neue" w:eastAsia="Helvetica Neue" w:hAnsi="Helvetica Neue" w:cs="Helvetica Neue"/>
          <w:sz w:val="24"/>
          <w:szCs w:val="24"/>
        </w:rPr>
        <w:t xml:space="preserve"> patients have insurance coverage for hearing devices, the assumption is that coverage is for entry-level technology. Practices should be cognizant of state policies that govern reimbursement. Such policies would allow or restrict billing patients for the portion of hearing devices/services that are not paid by the plan (i.e. balance billing). When insurance reimbursement for hearing devices is not commensurate with the level of technology dispensed, payers may also allow patients to sign a waiver and pay out-of-pocket for upgraded technology beyond the benefit. Verify with payers the </w:t>
      </w:r>
      <w:r>
        <w:rPr>
          <w:rFonts w:ascii="Helvetica Neue" w:eastAsia="Helvetica Neue" w:hAnsi="Helvetica Neue" w:cs="Helvetica Neue"/>
          <w:color w:val="000000"/>
          <w:sz w:val="24"/>
          <w:szCs w:val="24"/>
        </w:rPr>
        <w:t>required protocols and forms tha</w:t>
      </w:r>
      <w:r>
        <w:rPr>
          <w:rFonts w:ascii="Helvetica Neue" w:eastAsia="Helvetica Neue" w:hAnsi="Helvetica Neue" w:cs="Helvetica Neue"/>
          <w:sz w:val="24"/>
          <w:szCs w:val="24"/>
        </w:rPr>
        <w:t xml:space="preserve">t </w:t>
      </w:r>
      <w:r>
        <w:rPr>
          <w:rFonts w:ascii="Helvetica Neue" w:eastAsia="Helvetica Neue" w:hAnsi="Helvetica Neue" w:cs="Helvetica Neue"/>
          <w:color w:val="000000"/>
          <w:sz w:val="24"/>
          <w:szCs w:val="24"/>
        </w:rPr>
        <w:t xml:space="preserve">must be </w:t>
      </w:r>
      <w:r>
        <w:rPr>
          <w:rFonts w:ascii="Helvetica Neue" w:eastAsia="Helvetica Neue" w:hAnsi="Helvetica Neue" w:cs="Helvetica Neue"/>
          <w:sz w:val="24"/>
          <w:szCs w:val="24"/>
        </w:rPr>
        <w:t xml:space="preserve">used for upgrade fees in </w:t>
      </w:r>
      <w:proofErr w:type="gramStart"/>
      <w:r>
        <w:rPr>
          <w:rFonts w:ascii="Helvetica Neue" w:eastAsia="Helvetica Neue" w:hAnsi="Helvetica Neue" w:cs="Helvetica Neue"/>
          <w:sz w:val="24"/>
          <w:szCs w:val="24"/>
        </w:rPr>
        <w:t>advance.</w:t>
      </w:r>
      <w:r>
        <w:rPr>
          <w:rFonts w:ascii="Helvetica Neue" w:eastAsia="Helvetica Neue" w:hAnsi="Helvetica Neue" w:cs="Helvetica Neue"/>
          <w:color w:val="000000"/>
          <w:sz w:val="24"/>
          <w:szCs w:val="24"/>
        </w:rPr>
        <w:t>.</w:t>
      </w:r>
      <w:proofErr w:type="gramEnd"/>
      <w:r>
        <w:rPr>
          <w:rFonts w:ascii="Helvetica Neue" w:eastAsia="Helvetica Neue" w:hAnsi="Helvetica Neue" w:cs="Helvetica Neue"/>
          <w:color w:val="000000"/>
          <w:sz w:val="24"/>
          <w:szCs w:val="24"/>
        </w:rPr>
        <w:t xml:space="preserve"> Commercial payers </w:t>
      </w:r>
      <w:r>
        <w:rPr>
          <w:rFonts w:ascii="Helvetica Neue" w:eastAsia="Helvetica Neue" w:hAnsi="Helvetica Neue" w:cs="Helvetica Neue"/>
          <w:sz w:val="24"/>
          <w:szCs w:val="24"/>
        </w:rPr>
        <w:t>sometimes</w:t>
      </w:r>
      <w:r>
        <w:rPr>
          <w:rFonts w:ascii="Helvetica Neue" w:eastAsia="Helvetica Neue" w:hAnsi="Helvetica Neue" w:cs="Helvetica Neue"/>
          <w:color w:val="000000"/>
          <w:sz w:val="24"/>
          <w:szCs w:val="24"/>
        </w:rPr>
        <w:t xml:space="preserve"> offer a </w:t>
      </w:r>
      <w:r>
        <w:rPr>
          <w:rFonts w:ascii="Helvetica Neue" w:eastAsia="Helvetica Neue" w:hAnsi="Helvetica Neue" w:cs="Helvetica Neue"/>
          <w:i/>
          <w:color w:val="000000"/>
          <w:sz w:val="24"/>
          <w:szCs w:val="24"/>
        </w:rPr>
        <w:t>financial waiver</w:t>
      </w:r>
      <w:r>
        <w:rPr>
          <w:rFonts w:ascii="Helvetica Neue" w:eastAsia="Helvetica Neue" w:hAnsi="Helvetica Neue" w:cs="Helvetica Neue"/>
          <w:color w:val="000000"/>
          <w:sz w:val="24"/>
          <w:szCs w:val="24"/>
        </w:rPr>
        <w:t xml:space="preserve"> for use with the patient to inform them of who is responsible for payment of </w:t>
      </w:r>
      <w:r>
        <w:rPr>
          <w:rFonts w:ascii="Helvetica Neue" w:eastAsia="Helvetica Neue" w:hAnsi="Helvetica Neue" w:cs="Helvetica Neue"/>
          <w:sz w:val="24"/>
          <w:szCs w:val="24"/>
        </w:rPr>
        <w:t>specific</w:t>
      </w:r>
      <w:r>
        <w:rPr>
          <w:rFonts w:ascii="Helvetica Neue" w:eastAsia="Helvetica Neue" w:hAnsi="Helvetica Neue" w:cs="Helvetica Neue"/>
          <w:color w:val="000000"/>
          <w:sz w:val="24"/>
          <w:szCs w:val="24"/>
        </w:rPr>
        <w:t xml:space="preserve"> services. If a waiver is not provided, it </w:t>
      </w:r>
      <w:r>
        <w:rPr>
          <w:rFonts w:ascii="Helvetica Neue" w:eastAsia="Helvetica Neue" w:hAnsi="Helvetica Neue" w:cs="Helvetica Neue"/>
          <w:sz w:val="24"/>
          <w:szCs w:val="24"/>
        </w:rPr>
        <w:t>would be</w:t>
      </w:r>
      <w:r>
        <w:rPr>
          <w:rFonts w:ascii="Helvetica Neue" w:eastAsia="Helvetica Neue" w:hAnsi="Helvetica Neue" w:cs="Helvetica Neue"/>
          <w:color w:val="000000"/>
          <w:sz w:val="24"/>
          <w:szCs w:val="24"/>
        </w:rPr>
        <w:t xml:space="preserve"> best to develop one for the practice. </w:t>
      </w:r>
    </w:p>
    <w:p w14:paraId="10DFE356"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 sure to verify the benefit coverage period, which should be communicated clearly to patients. Once a benefit for hearing devices has been used in its entirety, patients would be responsible for reimbursement of the charges for professional </w:t>
      </w:r>
      <w:r>
        <w:rPr>
          <w:rFonts w:ascii="Helvetica Neue" w:eastAsia="Helvetica Neue" w:hAnsi="Helvetica Neue" w:cs="Helvetica Neue"/>
          <w:sz w:val="24"/>
          <w:szCs w:val="24"/>
        </w:rPr>
        <w:lastRenderedPageBreak/>
        <w:t>services.</w:t>
      </w:r>
    </w:p>
    <w:p w14:paraId="782126AA" w14:textId="77777777" w:rsidR="00BB4B7A" w:rsidRDefault="00000000">
      <w:pPr>
        <w:numPr>
          <w:ilvl w:val="0"/>
          <w:numId w:val="1"/>
        </w:numPr>
        <w:pBdr>
          <w:top w:val="nil"/>
          <w:left w:val="nil"/>
          <w:bottom w:val="nil"/>
          <w:right w:val="nil"/>
          <w:between w:val="nil"/>
        </w:pBdr>
        <w:spacing w:before="196"/>
        <w:ind w:right="438"/>
        <w:rPr>
          <w:rFonts w:ascii="Helvetica Neue" w:eastAsia="Helvetica Neue" w:hAnsi="Helvetica Neue" w:cs="Helvetica Neue"/>
          <w:sz w:val="24"/>
          <w:szCs w:val="24"/>
        </w:rPr>
      </w:pPr>
      <w:r>
        <w:rPr>
          <w:rFonts w:ascii="Helvetica Neue" w:eastAsia="Helvetica Neue" w:hAnsi="Helvetica Neue" w:cs="Helvetica Neue"/>
          <w:sz w:val="24"/>
          <w:szCs w:val="24"/>
        </w:rPr>
        <w:t>All fees, whether reimbursable by insurance or the patient, should be clearly outlined and reviewed with the patient. The patient should be provided a copy of the contract that specifies the fees at the hearing aid evaluation.</w:t>
      </w:r>
    </w:p>
    <w:p w14:paraId="54C8E802" w14:textId="77777777" w:rsidR="00BB4B7A" w:rsidRDefault="00BB4B7A" w:rsidP="006B6DCE">
      <w:pPr>
        <w:pBdr>
          <w:top w:val="nil"/>
          <w:left w:val="nil"/>
          <w:bottom w:val="nil"/>
          <w:right w:val="nil"/>
          <w:between w:val="nil"/>
        </w:pBdr>
        <w:ind w:right="452"/>
        <w:rPr>
          <w:rFonts w:ascii="Helvetica Neue" w:eastAsia="Helvetica Neue" w:hAnsi="Helvetica Neue" w:cs="Helvetica Neue"/>
          <w:color w:val="000000"/>
          <w:sz w:val="24"/>
          <w:szCs w:val="24"/>
        </w:rPr>
      </w:pPr>
    </w:p>
    <w:p w14:paraId="3A797396" w14:textId="77777777" w:rsidR="00BB4B7A" w:rsidRDefault="00000000">
      <w:pPr>
        <w:pStyle w:val="Heading2"/>
        <w:spacing w:before="38"/>
        <w:ind w:left="0"/>
        <w:rPr>
          <w:rFonts w:ascii="Helvetica Neue" w:eastAsia="Helvetica Neue" w:hAnsi="Helvetica Neue" w:cs="Helvetica Neue"/>
          <w:sz w:val="24"/>
          <w:szCs w:val="24"/>
        </w:rPr>
      </w:pPr>
      <w:r>
        <w:rPr>
          <w:rFonts w:ascii="Helvetica Neue" w:eastAsia="Helvetica Neue" w:hAnsi="Helvetica Neue" w:cs="Helvetica Neue"/>
          <w:sz w:val="24"/>
          <w:szCs w:val="24"/>
        </w:rPr>
        <w:t>Hearing Aid Services Claim Submission Examples</w:t>
      </w:r>
    </w:p>
    <w:p w14:paraId="605419AE" w14:textId="77777777" w:rsidR="00BB4B7A" w:rsidRDefault="00000000">
      <w:pPr>
        <w:spacing w:before="195" w:line="242" w:lineRule="auto"/>
        <w:ind w:left="1080" w:right="48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Healthcare Common Procedure Coding System (HCPCS) service codes listed below are provided by way of example for billing hearing aids and related services ONLY and do not represent the full range of code possibilities available to audiologists for hearing aid services. </w:t>
      </w:r>
    </w:p>
    <w:p w14:paraId="156A2066" w14:textId="77777777" w:rsidR="00BB4B7A" w:rsidRDefault="00000000">
      <w:pPr>
        <w:spacing w:before="195" w:line="242" w:lineRule="auto"/>
        <w:ind w:left="1080" w:right="486"/>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New service delivery codes will be available to bill for professional services beginning in </w:t>
      </w:r>
      <w:proofErr w:type="gramStart"/>
      <w:r>
        <w:rPr>
          <w:rFonts w:ascii="Helvetica Neue" w:eastAsia="Helvetica Neue" w:hAnsi="Helvetica Neue" w:cs="Helvetica Neue"/>
          <w:sz w:val="24"/>
          <w:szCs w:val="24"/>
        </w:rPr>
        <w:t>January,</w:t>
      </w:r>
      <w:proofErr w:type="gramEnd"/>
      <w:r>
        <w:rPr>
          <w:rFonts w:ascii="Helvetica Neue" w:eastAsia="Helvetica Neue" w:hAnsi="Helvetica Neue" w:cs="Helvetica Neue"/>
          <w:sz w:val="24"/>
          <w:szCs w:val="24"/>
        </w:rPr>
        <w:t xml:space="preserve"> 2026. Check the Academy website later this year as more information becomes available. </w:t>
      </w:r>
    </w:p>
    <w:p w14:paraId="2369AA05" w14:textId="77777777" w:rsidR="00BB4B7A" w:rsidRDefault="00BB4B7A">
      <w:pPr>
        <w:pBdr>
          <w:top w:val="nil"/>
          <w:left w:val="nil"/>
          <w:bottom w:val="nil"/>
          <w:right w:val="nil"/>
          <w:between w:val="nil"/>
        </w:pBdr>
        <w:spacing w:before="7"/>
        <w:rPr>
          <w:rFonts w:ascii="Helvetica Neue" w:eastAsia="Helvetica Neue" w:hAnsi="Helvetica Neue" w:cs="Helvetica Neue"/>
          <w:color w:val="000000"/>
          <w:sz w:val="24"/>
          <w:szCs w:val="24"/>
        </w:rPr>
      </w:pPr>
    </w:p>
    <w:p w14:paraId="27AC47CD" w14:textId="77777777" w:rsidR="00BB4B7A" w:rsidRDefault="00000000">
      <w:pPr>
        <w:pStyle w:val="Heading2"/>
        <w:ind w:left="1080"/>
        <w:rPr>
          <w:rFonts w:ascii="Helvetica Neue" w:eastAsia="Helvetica Neue" w:hAnsi="Helvetica Neue" w:cs="Helvetica Neue"/>
          <w:b w:val="0"/>
          <w:sz w:val="24"/>
          <w:szCs w:val="24"/>
        </w:rPr>
      </w:pPr>
      <w:r>
        <w:rPr>
          <w:rFonts w:ascii="Helvetica Neue" w:eastAsia="Helvetica Neue" w:hAnsi="Helvetica Neue" w:cs="Helvetica Neue"/>
          <w:b w:val="0"/>
          <w:sz w:val="24"/>
          <w:szCs w:val="24"/>
        </w:rPr>
        <w:t xml:space="preserve">Binaural behind-the-ear hearing aid, with earmold </w:t>
      </w:r>
    </w:p>
    <w:p w14:paraId="174B4FFA" w14:textId="77777777" w:rsidR="00BB4B7A" w:rsidRDefault="00BB4B7A">
      <w:pPr>
        <w:pStyle w:val="Heading2"/>
        <w:ind w:left="1080"/>
        <w:rPr>
          <w:rFonts w:ascii="Helvetica Neue" w:eastAsia="Helvetica Neue" w:hAnsi="Helvetica Neue" w:cs="Helvetica Neue"/>
          <w:b w:val="0"/>
          <w:sz w:val="24"/>
          <w:szCs w:val="24"/>
        </w:rPr>
      </w:pPr>
    </w:p>
    <w:p w14:paraId="3F47EEC1" w14:textId="77777777" w:rsidR="00BB4B7A" w:rsidRDefault="00000000">
      <w:pPr>
        <w:numPr>
          <w:ilvl w:val="0"/>
          <w:numId w:val="6"/>
        </w:numPr>
        <w:pBdr>
          <w:top w:val="nil"/>
          <w:left w:val="nil"/>
          <w:bottom w:val="nil"/>
          <w:right w:val="nil"/>
          <w:between w:val="nil"/>
        </w:pBdr>
        <w:tabs>
          <w:tab w:val="left" w:pos="1160"/>
          <w:tab w:val="left" w:pos="1161"/>
        </w:tabs>
        <w:ind w:left="1800" w:right="478"/>
        <w:rPr>
          <w:color w:val="000000"/>
          <w:sz w:val="24"/>
          <w:szCs w:val="24"/>
        </w:rPr>
      </w:pPr>
      <w:r>
        <w:rPr>
          <w:rFonts w:ascii="Helvetica Neue" w:eastAsia="Helvetica Neue" w:hAnsi="Helvetica Neue" w:cs="Helvetica Neue"/>
          <w:color w:val="000000"/>
          <w:sz w:val="24"/>
          <w:szCs w:val="24"/>
        </w:rPr>
        <w:t xml:space="preserve">92590 (Hearing aid examination and selection, monaural), </w:t>
      </w:r>
      <w:r>
        <w:rPr>
          <w:rFonts w:ascii="Helvetica Neue" w:eastAsia="Helvetica Neue" w:hAnsi="Helvetica Neue" w:cs="Helvetica Neue"/>
          <w:color w:val="000000"/>
          <w:sz w:val="24"/>
          <w:szCs w:val="24"/>
          <w:u w:val="single"/>
        </w:rPr>
        <w:t>or</w:t>
      </w:r>
      <w:r>
        <w:rPr>
          <w:rFonts w:ascii="Helvetica Neue" w:eastAsia="Helvetica Neue" w:hAnsi="Helvetica Neue" w:cs="Helvetica Neue"/>
          <w:color w:val="000000"/>
          <w:sz w:val="24"/>
          <w:szCs w:val="24"/>
        </w:rPr>
        <w:t xml:space="preserve"> V5010 (Assessment for hearing aid). Your choice of the code may be payer dependent a</w:t>
      </w:r>
      <w:r>
        <w:rPr>
          <w:rFonts w:ascii="Helvetica Neue" w:eastAsia="Helvetica Neue" w:hAnsi="Helvetica Neue" w:cs="Helvetica Neue"/>
          <w:sz w:val="24"/>
          <w:szCs w:val="24"/>
        </w:rPr>
        <w:t>nd/or how the codes are reimbursed</w:t>
      </w:r>
      <w:r>
        <w:rPr>
          <w:rFonts w:ascii="Helvetica Neue" w:eastAsia="Helvetica Neue" w:hAnsi="Helvetica Neue" w:cs="Helvetica Neue"/>
          <w:color w:val="000000"/>
          <w:sz w:val="24"/>
          <w:szCs w:val="24"/>
        </w:rPr>
        <w:t>.</w:t>
      </w:r>
    </w:p>
    <w:p w14:paraId="459F4026"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V5011 Fitting/orientation/checking of hearing aid</w:t>
      </w:r>
    </w:p>
    <w:p w14:paraId="096CCA13"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V5020 Conformity Evaluation</w:t>
      </w:r>
    </w:p>
    <w:p w14:paraId="2D90ED55"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w:t>
      </w:r>
      <w:r>
        <w:rPr>
          <w:rFonts w:ascii="Helvetica Neue" w:eastAsia="Helvetica Neue" w:hAnsi="Helvetica Neue" w:cs="Helvetica Neue"/>
          <w:sz w:val="24"/>
          <w:szCs w:val="24"/>
        </w:rPr>
        <w:t>61 or V5140</w:t>
      </w:r>
      <w:r>
        <w:rPr>
          <w:rFonts w:ascii="Helvetica Neue" w:eastAsia="Helvetica Neue" w:hAnsi="Helvetica Neue" w:cs="Helvetica Neue"/>
          <w:color w:val="000000"/>
          <w:sz w:val="24"/>
          <w:szCs w:val="24"/>
        </w:rPr>
        <w:t xml:space="preserve"> Hearing aid,</w:t>
      </w:r>
      <w:r>
        <w:rPr>
          <w:rFonts w:ascii="Helvetica Neue" w:eastAsia="Helvetica Neue" w:hAnsi="Helvetica Neue" w:cs="Helvetica Neue"/>
          <w:sz w:val="24"/>
          <w:szCs w:val="24"/>
        </w:rPr>
        <w:t xml:space="preserve"> binaural</w:t>
      </w:r>
      <w:r>
        <w:rPr>
          <w:rFonts w:ascii="Helvetica Neue" w:eastAsia="Helvetica Neue" w:hAnsi="Helvetica Neue" w:cs="Helvetica Neue"/>
          <w:color w:val="000000"/>
          <w:sz w:val="24"/>
          <w:szCs w:val="24"/>
        </w:rPr>
        <w:t>, BTE</w:t>
      </w:r>
    </w:p>
    <w:p w14:paraId="2BED92B9"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w:t>
      </w:r>
      <w:r>
        <w:rPr>
          <w:rFonts w:ascii="Helvetica Neue" w:eastAsia="Helvetica Neue" w:hAnsi="Helvetica Neue" w:cs="Helvetica Neue"/>
          <w:sz w:val="24"/>
          <w:szCs w:val="24"/>
        </w:rPr>
        <w:t>160</w:t>
      </w:r>
      <w:r>
        <w:rPr>
          <w:rFonts w:ascii="Helvetica Neue" w:eastAsia="Helvetica Neue" w:hAnsi="Helvetica Neue" w:cs="Helvetica Neue"/>
          <w:color w:val="000000"/>
          <w:sz w:val="24"/>
          <w:szCs w:val="24"/>
        </w:rPr>
        <w:t xml:space="preserve"> Dispensing fee,</w:t>
      </w:r>
      <w:r>
        <w:rPr>
          <w:rFonts w:ascii="Helvetica Neue" w:eastAsia="Helvetica Neue" w:hAnsi="Helvetica Neue" w:cs="Helvetica Neue"/>
          <w:sz w:val="24"/>
          <w:szCs w:val="24"/>
        </w:rPr>
        <w:t xml:space="preserve"> binaural</w:t>
      </w:r>
      <w:r>
        <w:rPr>
          <w:rFonts w:ascii="Helvetica Neue" w:eastAsia="Helvetica Neue" w:hAnsi="Helvetica Neue" w:cs="Helvetica Neue"/>
          <w:color w:val="000000"/>
          <w:sz w:val="24"/>
          <w:szCs w:val="24"/>
        </w:rPr>
        <w:t xml:space="preserve"> hearing aid, any type</w:t>
      </w:r>
    </w:p>
    <w:p w14:paraId="54228990"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 xml:space="preserve">V5266 Battery for use </w:t>
      </w:r>
      <w:proofErr w:type="gramStart"/>
      <w:r>
        <w:rPr>
          <w:rFonts w:ascii="Helvetica Neue" w:eastAsia="Helvetica Neue" w:hAnsi="Helvetica Neue" w:cs="Helvetica Neue"/>
          <w:color w:val="000000"/>
          <w:sz w:val="24"/>
          <w:szCs w:val="24"/>
        </w:rPr>
        <w:t>In</w:t>
      </w:r>
      <w:proofErr w:type="gramEnd"/>
      <w:r>
        <w:rPr>
          <w:rFonts w:ascii="Helvetica Neue" w:eastAsia="Helvetica Neue" w:hAnsi="Helvetica Neue" w:cs="Helvetica Neue"/>
          <w:color w:val="000000"/>
          <w:sz w:val="24"/>
          <w:szCs w:val="24"/>
        </w:rPr>
        <w:t xml:space="preserve"> hearing device</w:t>
      </w:r>
    </w:p>
    <w:p w14:paraId="4C0448A8"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V5264 x 2 un</w:t>
      </w:r>
      <w:r>
        <w:rPr>
          <w:rFonts w:ascii="Helvetica Neue" w:eastAsia="Helvetica Neue" w:hAnsi="Helvetica Neue" w:cs="Helvetica Neue"/>
          <w:sz w:val="24"/>
          <w:szCs w:val="24"/>
        </w:rPr>
        <w:t>its</w:t>
      </w:r>
      <w:r>
        <w:rPr>
          <w:rFonts w:ascii="Helvetica Neue" w:eastAsia="Helvetica Neue" w:hAnsi="Helvetica Neue" w:cs="Helvetica Neue"/>
          <w:color w:val="000000"/>
          <w:sz w:val="24"/>
          <w:szCs w:val="24"/>
        </w:rPr>
        <w:t xml:space="preserve"> Earmold/insert, not disposable, any type</w:t>
      </w:r>
    </w:p>
    <w:p w14:paraId="5B642BB9"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V5275 x 2 units Earmold impression, each</w:t>
      </w:r>
    </w:p>
    <w:p w14:paraId="2CEE381E" w14:textId="77777777" w:rsidR="00BB4B7A" w:rsidRDefault="00000000">
      <w:pPr>
        <w:numPr>
          <w:ilvl w:val="0"/>
          <w:numId w:val="6"/>
        </w:numPr>
        <w:pBdr>
          <w:top w:val="nil"/>
          <w:left w:val="nil"/>
          <w:bottom w:val="nil"/>
          <w:right w:val="nil"/>
          <w:between w:val="nil"/>
        </w:pBdr>
        <w:tabs>
          <w:tab w:val="left" w:pos="1160"/>
          <w:tab w:val="left" w:pos="1161"/>
        </w:tabs>
        <w:ind w:left="1800"/>
        <w:rPr>
          <w:color w:val="000000"/>
          <w:sz w:val="24"/>
          <w:szCs w:val="24"/>
        </w:rPr>
      </w:pPr>
      <w:r>
        <w:rPr>
          <w:rFonts w:ascii="Helvetica Neue" w:eastAsia="Helvetica Neue" w:hAnsi="Helvetica Neue" w:cs="Helvetica Neue"/>
          <w:color w:val="000000"/>
          <w:sz w:val="24"/>
          <w:szCs w:val="24"/>
        </w:rPr>
        <w:t>V5299 Hearing service, miscellaneous (extended warranty packages, for example)</w:t>
      </w:r>
    </w:p>
    <w:p w14:paraId="49EB9D8E" w14:textId="77777777" w:rsidR="00BB4B7A" w:rsidRDefault="00BB4B7A">
      <w:pPr>
        <w:pBdr>
          <w:top w:val="nil"/>
          <w:left w:val="nil"/>
          <w:bottom w:val="nil"/>
          <w:right w:val="nil"/>
          <w:between w:val="nil"/>
        </w:pBdr>
        <w:ind w:left="640"/>
        <w:rPr>
          <w:rFonts w:ascii="Helvetica Neue" w:eastAsia="Helvetica Neue" w:hAnsi="Helvetica Neue" w:cs="Helvetica Neue"/>
          <w:color w:val="000000"/>
          <w:sz w:val="24"/>
          <w:szCs w:val="24"/>
        </w:rPr>
      </w:pPr>
    </w:p>
    <w:p w14:paraId="6F083570" w14:textId="77777777" w:rsidR="00BB4B7A" w:rsidRDefault="00BB4B7A">
      <w:pPr>
        <w:pStyle w:val="Heading2"/>
        <w:ind w:left="1080"/>
        <w:rPr>
          <w:rFonts w:ascii="Helvetica Neue" w:eastAsia="Helvetica Neue" w:hAnsi="Helvetica Neue" w:cs="Helvetica Neue"/>
          <w:b w:val="0"/>
          <w:sz w:val="24"/>
          <w:szCs w:val="24"/>
        </w:rPr>
      </w:pPr>
    </w:p>
    <w:p w14:paraId="28F6F643" w14:textId="77777777" w:rsidR="00BB4B7A" w:rsidRDefault="00000000">
      <w:pPr>
        <w:pStyle w:val="Heading2"/>
        <w:tabs>
          <w:tab w:val="left" w:pos="1160"/>
          <w:tab w:val="left" w:pos="1161"/>
        </w:tabs>
        <w:ind w:left="0"/>
        <w:rPr>
          <w:rFonts w:ascii="Helvetica Neue" w:eastAsia="Helvetica Neue" w:hAnsi="Helvetica Neue" w:cs="Helvetica Neue"/>
          <w:sz w:val="24"/>
          <w:szCs w:val="24"/>
        </w:rPr>
      </w:pPr>
      <w:r>
        <w:rPr>
          <w:rFonts w:ascii="Helvetica Neue" w:eastAsia="Helvetica Neue" w:hAnsi="Helvetica Neue" w:cs="Helvetica Neue"/>
          <w:sz w:val="24"/>
          <w:szCs w:val="24"/>
        </w:rPr>
        <w:t>Additional Academy Resources on Coding and Reimbursement</w:t>
      </w:r>
    </w:p>
    <w:p w14:paraId="25522376" w14:textId="77777777" w:rsidR="00BB4B7A" w:rsidRDefault="00BB4B7A">
      <w:pPr>
        <w:pBdr>
          <w:top w:val="nil"/>
          <w:left w:val="nil"/>
          <w:bottom w:val="nil"/>
          <w:right w:val="nil"/>
          <w:between w:val="nil"/>
        </w:pBdr>
        <w:spacing w:before="196"/>
        <w:ind w:left="1160"/>
        <w:rPr>
          <w:rFonts w:ascii="Helvetica Neue" w:eastAsia="Helvetica Neue" w:hAnsi="Helvetica Neue" w:cs="Helvetica Neue"/>
          <w:color w:val="000000"/>
          <w:sz w:val="24"/>
          <w:szCs w:val="24"/>
        </w:rPr>
      </w:pPr>
    </w:p>
    <w:p w14:paraId="5B272568" w14:textId="646612EA" w:rsidR="00BB4B7A" w:rsidRDefault="00000000">
      <w:pPr>
        <w:numPr>
          <w:ilvl w:val="0"/>
          <w:numId w:val="4"/>
        </w:numPr>
        <w:pBdr>
          <w:top w:val="nil"/>
          <w:left w:val="nil"/>
          <w:bottom w:val="nil"/>
          <w:right w:val="nil"/>
          <w:between w:val="nil"/>
        </w:pBdr>
        <w:tabs>
          <w:tab w:val="left" w:pos="1161"/>
        </w:tabs>
        <w:spacing w:line="269" w:lineRule="auto"/>
        <w:ind w:right="847"/>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American Academy of Audiology Practice Resources for Reimbursement. </w:t>
      </w:r>
      <w:hyperlink r:id="rId11" w:history="1">
        <w:r w:rsidRPr="00340FE6">
          <w:rPr>
            <w:rStyle w:val="Hyperlink"/>
            <w:rFonts w:ascii="Helvetica Neue" w:eastAsia="Helvetica Neue" w:hAnsi="Helvetica Neue" w:cs="Helvetica Neue"/>
            <w:sz w:val="24"/>
            <w:szCs w:val="24"/>
          </w:rPr>
          <w:t>https://www.audiology.org/practice-resources/reimbursement/</w:t>
        </w:r>
      </w:hyperlink>
    </w:p>
    <w:p w14:paraId="07D2E1D3" w14:textId="77777777" w:rsidR="00BB4B7A" w:rsidRDefault="00BB4B7A">
      <w:pPr>
        <w:pBdr>
          <w:top w:val="nil"/>
          <w:left w:val="nil"/>
          <w:bottom w:val="nil"/>
          <w:right w:val="nil"/>
          <w:between w:val="nil"/>
        </w:pBdr>
        <w:spacing w:line="269" w:lineRule="auto"/>
        <w:ind w:left="799"/>
        <w:rPr>
          <w:rFonts w:ascii="Helvetica Neue" w:eastAsia="Helvetica Neue" w:hAnsi="Helvetica Neue" w:cs="Helvetica Neue"/>
          <w:color w:val="000000"/>
          <w:sz w:val="24"/>
          <w:szCs w:val="24"/>
        </w:rPr>
      </w:pPr>
    </w:p>
    <w:p w14:paraId="4043EAF7" w14:textId="3EB4C731" w:rsidR="00BB4B7A" w:rsidRPr="002922A5" w:rsidRDefault="00000000" w:rsidP="002922A5">
      <w:pPr>
        <w:numPr>
          <w:ilvl w:val="0"/>
          <w:numId w:val="4"/>
        </w:numPr>
        <w:pBdr>
          <w:top w:val="nil"/>
          <w:left w:val="nil"/>
          <w:bottom w:val="nil"/>
          <w:right w:val="nil"/>
          <w:between w:val="nil"/>
        </w:pBdr>
        <w:spacing w:line="269" w:lineRule="auto"/>
        <w:ind w:right="847"/>
        <w:rPr>
          <w:rFonts w:ascii="Helvetica Neue" w:eastAsia="Helvetica Neue" w:hAnsi="Helvetica Neue" w:cs="Helvetica Neue"/>
          <w:color w:val="0000FF"/>
          <w:sz w:val="24"/>
          <w:szCs w:val="24"/>
        </w:rPr>
      </w:pPr>
      <w:r>
        <w:rPr>
          <w:rFonts w:ascii="Helvetica Neue" w:eastAsia="Helvetica Neue" w:hAnsi="Helvetica Neue" w:cs="Helvetica Neue"/>
          <w:color w:val="000000"/>
          <w:sz w:val="24"/>
          <w:szCs w:val="24"/>
        </w:rPr>
        <w:t xml:space="preserve">American Academy of Audiology Practice Resources for Coding. </w:t>
      </w:r>
      <w:hyperlink r:id="rId12" w:history="1">
        <w:r w:rsidRPr="00340FE6">
          <w:rPr>
            <w:rStyle w:val="Hyperlink"/>
            <w:rFonts w:ascii="Helvetica Neue" w:eastAsia="Helvetica Neue" w:hAnsi="Helvetica Neue" w:cs="Helvetica Neue"/>
            <w:sz w:val="24"/>
            <w:szCs w:val="24"/>
          </w:rPr>
          <w:t>https://www.audiology.org/practice-resources/coding/</w:t>
        </w:r>
      </w:hyperlink>
    </w:p>
    <w:sectPr w:rsidR="00BB4B7A" w:rsidRPr="002922A5">
      <w:footerReference w:type="default" r:id="rId13"/>
      <w:pgSz w:w="12240" w:h="15840"/>
      <w:pgMar w:top="720" w:right="720" w:bottom="720" w:left="720" w:header="0" w:footer="6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360B1" w14:textId="77777777" w:rsidR="003D0552" w:rsidRDefault="003D0552">
      <w:r>
        <w:separator/>
      </w:r>
    </w:p>
  </w:endnote>
  <w:endnote w:type="continuationSeparator" w:id="0">
    <w:p w14:paraId="2D2B6DA5" w14:textId="77777777" w:rsidR="003D0552" w:rsidRDefault="003D0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23EFE7-4513-CB40-82C4-0C95CA439329}"/>
    <w:embedBold r:id="rId2" w:fontKey="{70EDFDDA-C78B-A14B-AB7D-E58C922AD629}"/>
  </w:font>
  <w:font w:name="Noto Sans Symbols">
    <w:panose1 w:val="020B0604020202020204"/>
    <w:charset w:val="00"/>
    <w:family w:val="auto"/>
    <w:pitch w:val="default"/>
    <w:embedRegular r:id="rId3" w:fontKey="{9812B81D-0829-8D46-99FB-35C6AC0A0A9C}"/>
  </w:font>
  <w:font w:name="Georgia">
    <w:panose1 w:val="02040502050405020303"/>
    <w:charset w:val="00"/>
    <w:family w:val="roman"/>
    <w:pitch w:val="variable"/>
    <w:sig w:usb0="00000287" w:usb1="00000000" w:usb2="00000000" w:usb3="00000000" w:csb0="0000009F" w:csb1="00000000"/>
    <w:embedRegular r:id="rId4" w:fontKey="{36E4438F-787C-C344-9F92-35DA1862EBB1}"/>
    <w:embedItalic r:id="rId5" w:fontKey="{44354709-B4FC-144F-806C-605B50873DFC}"/>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9" w:fontKey="{9A1ED606-555C-3345-85E6-320CEB29C0E6}"/>
  </w:font>
  <w:font w:name="Cambria">
    <w:panose1 w:val="02040503050406030204"/>
    <w:charset w:val="00"/>
    <w:family w:val="roman"/>
    <w:pitch w:val="variable"/>
    <w:sig w:usb0="E00006FF" w:usb1="420024FF" w:usb2="02000000" w:usb3="00000000" w:csb0="0000019F" w:csb1="00000000"/>
    <w:embedRegular r:id="rId10" w:fontKey="{8FECCBB1-09AC-6F49-8ADB-22999E3739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96DB" w14:textId="77777777" w:rsidR="00BB4B7A"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5F25E90F" wp14:editId="4C6ACC39">
              <wp:simplePos x="0" y="0"/>
              <wp:positionH relativeFrom="column">
                <wp:posOffset>6497638</wp:posOffset>
              </wp:positionH>
              <wp:positionV relativeFrom="paragraph">
                <wp:posOffset>9469438</wp:posOffset>
              </wp:positionV>
              <wp:extent cx="184150" cy="196850"/>
              <wp:effectExtent l="0" t="0" r="0" b="0"/>
              <wp:wrapNone/>
              <wp:docPr id="3" name="Rectangle 3"/>
              <wp:cNvGraphicFramePr/>
              <a:graphic xmlns:a="http://schemas.openxmlformats.org/drawingml/2006/main">
                <a:graphicData uri="http://schemas.microsoft.com/office/word/2010/wordprocessingShape">
                  <wps:wsp>
                    <wps:cNvSpPr/>
                    <wps:spPr>
                      <a:xfrm>
                        <a:off x="5263450" y="3691100"/>
                        <a:ext cx="165100" cy="177800"/>
                      </a:xfrm>
                      <a:prstGeom prst="rect">
                        <a:avLst/>
                      </a:prstGeom>
                      <a:noFill/>
                      <a:ln>
                        <a:noFill/>
                      </a:ln>
                    </wps:spPr>
                    <wps:txbx>
                      <w:txbxContent>
                        <w:p w14:paraId="3A851430" w14:textId="77777777" w:rsidR="00BB4B7A" w:rsidRDefault="00000000">
                          <w:pPr>
                            <w:spacing w:line="254" w:lineRule="auto"/>
                            <w:ind w:left="60" w:firstLine="120"/>
                            <w:textDirection w:val="btLr"/>
                          </w:pPr>
                          <w:r>
                            <w:rPr>
                              <w:color w:val="000000"/>
                              <w:sz w:val="24"/>
                            </w:rPr>
                            <w:t xml:space="preserve"> PAGE </w:t>
                          </w:r>
                          <w:r>
                            <w:rPr>
                              <w:color w:val="000000"/>
                            </w:rPr>
                            <w:t>2</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6497638</wp:posOffset>
              </wp:positionH>
              <wp:positionV relativeFrom="paragraph">
                <wp:posOffset>9469438</wp:posOffset>
              </wp:positionV>
              <wp:extent cx="184150" cy="196850"/>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4150" cy="1968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D138A" w14:textId="77777777" w:rsidR="003D0552" w:rsidRDefault="003D0552">
      <w:r>
        <w:separator/>
      </w:r>
    </w:p>
  </w:footnote>
  <w:footnote w:type="continuationSeparator" w:id="0">
    <w:p w14:paraId="7B64B6B4" w14:textId="77777777" w:rsidR="003D0552" w:rsidRDefault="003D0552">
      <w:r>
        <w:continuationSeparator/>
      </w:r>
    </w:p>
  </w:footnote>
  <w:footnote w:id="1">
    <w:p w14:paraId="38299680" w14:textId="77777777" w:rsidR="00BB4B7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Disclaimer: The purpose of the information provided above by the American Academy of Audiology Coding and Reimbursement Committee is to provide general information and educational guidance to audiologists. Action taken with respect to the information provided is an individual choice. The American Academy of Audiology hereby disclaims any responsibility for the consequences of any action(s) taken by any individual(s) </w:t>
      </w:r>
      <w:proofErr w:type="gramStart"/>
      <w:r>
        <w:rPr>
          <w:color w:val="000000"/>
          <w:sz w:val="20"/>
          <w:szCs w:val="20"/>
        </w:rPr>
        <w:t>as a result of</w:t>
      </w:r>
      <w:proofErr w:type="gramEnd"/>
      <w:r>
        <w:rPr>
          <w:color w:val="000000"/>
          <w:sz w:val="20"/>
          <w:szCs w:val="20"/>
        </w:rPr>
        <w:t xml:space="preserve"> using the information provided herein.</w:t>
      </w:r>
    </w:p>
    <w:p w14:paraId="2E7F86A4" w14:textId="77777777" w:rsidR="00BB4B7A" w:rsidRDefault="00BB4B7A">
      <w:pPr>
        <w:pBdr>
          <w:top w:val="nil"/>
          <w:left w:val="nil"/>
          <w:bottom w:val="nil"/>
          <w:right w:val="nil"/>
          <w:between w:val="nil"/>
        </w:pBdr>
        <w:spacing w:line="276" w:lineRule="auto"/>
        <w:rPr>
          <w:color w:val="000000"/>
          <w:sz w:val="20"/>
          <w:szCs w:val="20"/>
        </w:rPr>
      </w:pPr>
    </w:p>
  </w:footnote>
  <w:footnote w:id="2">
    <w:p w14:paraId="6D5D08C2" w14:textId="77777777" w:rsidR="00BB4B7A"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From </w:t>
      </w:r>
      <w:proofErr w:type="spellStart"/>
      <w:r>
        <w:rPr>
          <w:color w:val="000000"/>
          <w:sz w:val="20"/>
          <w:szCs w:val="20"/>
        </w:rPr>
        <w:t>Foltner</w:t>
      </w:r>
      <w:proofErr w:type="spellEnd"/>
      <w:r>
        <w:rPr>
          <w:color w:val="000000"/>
          <w:sz w:val="20"/>
          <w:szCs w:val="20"/>
        </w:rPr>
        <w:t xml:space="preserve">, K., (2009) What’s my time worth? Part </w:t>
      </w:r>
      <w:proofErr w:type="gramStart"/>
      <w:r>
        <w:rPr>
          <w:color w:val="000000"/>
          <w:sz w:val="20"/>
          <w:szCs w:val="20"/>
        </w:rPr>
        <w:t>3:Breakeven</w:t>
      </w:r>
      <w:proofErr w:type="gramEnd"/>
      <w:r>
        <w:rPr>
          <w:color w:val="000000"/>
          <w:sz w:val="20"/>
          <w:szCs w:val="20"/>
        </w:rPr>
        <w:t xml:space="preserve"> analysis. Advance for Audiologists, 11(3), 44; and </w:t>
      </w:r>
      <w:proofErr w:type="spellStart"/>
      <w:r>
        <w:rPr>
          <w:color w:val="000000"/>
          <w:sz w:val="20"/>
          <w:szCs w:val="20"/>
        </w:rPr>
        <w:t>Sjoblad</w:t>
      </w:r>
      <w:proofErr w:type="spellEnd"/>
      <w:r>
        <w:rPr>
          <w:color w:val="000000"/>
          <w:sz w:val="20"/>
          <w:szCs w:val="20"/>
        </w:rPr>
        <w:t xml:space="preserve">, S. Warren, B. (2011) </w:t>
      </w:r>
      <w:proofErr w:type="spellStart"/>
      <w:r>
        <w:rPr>
          <w:color w:val="000000"/>
          <w:sz w:val="20"/>
          <w:szCs w:val="20"/>
        </w:rPr>
        <w:t>Mythbusters</w:t>
      </w:r>
      <w:proofErr w:type="spellEnd"/>
      <w:r>
        <w:rPr>
          <w:color w:val="000000"/>
          <w:sz w:val="20"/>
          <w:szCs w:val="20"/>
        </w:rPr>
        <w:t>: Can one unbundle and stay in business? Audiology Today, 23(5), 36-45.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9C8"/>
    <w:multiLevelType w:val="multilevel"/>
    <w:tmpl w:val="3E6E80EA"/>
    <w:lvl w:ilvl="0">
      <w:start w:val="1"/>
      <w:numFmt w:val="decimal"/>
      <w:lvlText w:val="%1."/>
      <w:lvlJc w:val="left"/>
      <w:pPr>
        <w:ind w:left="1519" w:hanging="360"/>
      </w:pPr>
      <w:rPr>
        <w:rFonts w:ascii="Times New Roman" w:eastAsia="Times New Roman" w:hAnsi="Times New Roman" w:cs="Times New Roman"/>
        <w:b w:val="0"/>
        <w:i w:val="0"/>
        <w:color w:val="000000"/>
        <w:sz w:val="30"/>
        <w:szCs w:val="30"/>
      </w:rPr>
    </w:lvl>
    <w:lvl w:ilvl="1">
      <w:start w:val="1"/>
      <w:numFmt w:val="lowerLetter"/>
      <w:lvlText w:val="%2."/>
      <w:lvlJc w:val="left"/>
      <w:pPr>
        <w:ind w:left="2239" w:hanging="360"/>
      </w:pPr>
    </w:lvl>
    <w:lvl w:ilvl="2">
      <w:start w:val="1"/>
      <w:numFmt w:val="lowerRoman"/>
      <w:lvlText w:val="%3."/>
      <w:lvlJc w:val="right"/>
      <w:pPr>
        <w:ind w:left="2959" w:hanging="180"/>
      </w:pPr>
    </w:lvl>
    <w:lvl w:ilvl="3">
      <w:start w:val="1"/>
      <w:numFmt w:val="decimal"/>
      <w:lvlText w:val="%4."/>
      <w:lvlJc w:val="left"/>
      <w:pPr>
        <w:ind w:left="3679" w:hanging="360"/>
      </w:pPr>
    </w:lvl>
    <w:lvl w:ilvl="4">
      <w:start w:val="1"/>
      <w:numFmt w:val="lowerLetter"/>
      <w:lvlText w:val="%5."/>
      <w:lvlJc w:val="left"/>
      <w:pPr>
        <w:ind w:left="4399" w:hanging="360"/>
      </w:pPr>
    </w:lvl>
    <w:lvl w:ilvl="5">
      <w:start w:val="1"/>
      <w:numFmt w:val="lowerRoman"/>
      <w:lvlText w:val="%6."/>
      <w:lvlJc w:val="right"/>
      <w:pPr>
        <w:ind w:left="5119" w:hanging="180"/>
      </w:pPr>
    </w:lvl>
    <w:lvl w:ilvl="6">
      <w:start w:val="1"/>
      <w:numFmt w:val="decimal"/>
      <w:lvlText w:val="%7."/>
      <w:lvlJc w:val="left"/>
      <w:pPr>
        <w:ind w:left="5839" w:hanging="360"/>
      </w:pPr>
    </w:lvl>
    <w:lvl w:ilvl="7">
      <w:start w:val="1"/>
      <w:numFmt w:val="lowerLetter"/>
      <w:lvlText w:val="%8."/>
      <w:lvlJc w:val="left"/>
      <w:pPr>
        <w:ind w:left="6559" w:hanging="360"/>
      </w:pPr>
    </w:lvl>
    <w:lvl w:ilvl="8">
      <w:start w:val="1"/>
      <w:numFmt w:val="lowerRoman"/>
      <w:lvlText w:val="%9."/>
      <w:lvlJc w:val="right"/>
      <w:pPr>
        <w:ind w:left="7279" w:hanging="180"/>
      </w:pPr>
    </w:lvl>
  </w:abstractNum>
  <w:abstractNum w:abstractNumId="1" w15:restartNumberingAfterBreak="0">
    <w:nsid w:val="1C8C5F62"/>
    <w:multiLevelType w:val="multilevel"/>
    <w:tmpl w:val="F3CC8152"/>
    <w:lvl w:ilvl="0">
      <w:start w:val="1"/>
      <w:numFmt w:val="upperRoman"/>
      <w:lvlText w:val="%1."/>
      <w:lvlJc w:val="left"/>
      <w:pPr>
        <w:ind w:left="1160" w:hanging="721"/>
      </w:pPr>
      <w:rPr>
        <w:rFonts w:ascii="Times New Roman" w:eastAsia="Times New Roman" w:hAnsi="Times New Roman" w:cs="Times New Roman"/>
        <w:b/>
        <w:i w:val="0"/>
        <w:sz w:val="30"/>
        <w:szCs w:val="30"/>
      </w:rPr>
    </w:lvl>
    <w:lvl w:ilvl="1">
      <w:start w:val="1"/>
      <w:numFmt w:val="decimal"/>
      <w:lvlText w:val="%2."/>
      <w:lvlJc w:val="left"/>
      <w:pPr>
        <w:ind w:left="1880" w:hanging="720"/>
      </w:pPr>
      <w:rPr>
        <w:rFonts w:ascii="Times New Roman" w:eastAsia="Times New Roman" w:hAnsi="Times New Roman" w:cs="Times New Roman"/>
        <w:b w:val="0"/>
        <w:i w:val="0"/>
        <w:sz w:val="30"/>
        <w:szCs w:val="30"/>
      </w:rPr>
    </w:lvl>
    <w:lvl w:ilvl="2">
      <w:start w:val="1"/>
      <w:numFmt w:val="lowerLetter"/>
      <w:lvlText w:val="%3."/>
      <w:lvlJc w:val="left"/>
      <w:pPr>
        <w:ind w:left="1880" w:hanging="360"/>
      </w:pPr>
      <w:rPr>
        <w:rFonts w:ascii="Times New Roman" w:eastAsia="Times New Roman" w:hAnsi="Times New Roman" w:cs="Times New Roman"/>
        <w:b w:val="0"/>
        <w:i w:val="0"/>
        <w:sz w:val="22"/>
        <w:szCs w:val="22"/>
      </w:rPr>
    </w:lvl>
    <w:lvl w:ilvl="3">
      <w:numFmt w:val="bullet"/>
      <w:lvlText w:val="•"/>
      <w:lvlJc w:val="left"/>
      <w:pPr>
        <w:ind w:left="2997" w:hanging="360"/>
      </w:pPr>
    </w:lvl>
    <w:lvl w:ilvl="4">
      <w:numFmt w:val="bullet"/>
      <w:lvlText w:val="•"/>
      <w:lvlJc w:val="left"/>
      <w:pPr>
        <w:ind w:left="4115" w:hanging="360"/>
      </w:pPr>
    </w:lvl>
    <w:lvl w:ilvl="5">
      <w:numFmt w:val="bullet"/>
      <w:lvlText w:val="•"/>
      <w:lvlJc w:val="left"/>
      <w:pPr>
        <w:ind w:left="5232" w:hanging="360"/>
      </w:pPr>
    </w:lvl>
    <w:lvl w:ilvl="6">
      <w:numFmt w:val="bullet"/>
      <w:lvlText w:val="•"/>
      <w:lvlJc w:val="left"/>
      <w:pPr>
        <w:ind w:left="6350" w:hanging="360"/>
      </w:pPr>
    </w:lvl>
    <w:lvl w:ilvl="7">
      <w:numFmt w:val="bullet"/>
      <w:lvlText w:val="•"/>
      <w:lvlJc w:val="left"/>
      <w:pPr>
        <w:ind w:left="7467" w:hanging="360"/>
      </w:pPr>
    </w:lvl>
    <w:lvl w:ilvl="8">
      <w:numFmt w:val="bullet"/>
      <w:lvlText w:val="•"/>
      <w:lvlJc w:val="left"/>
      <w:pPr>
        <w:ind w:left="8585" w:hanging="360"/>
      </w:pPr>
    </w:lvl>
  </w:abstractNum>
  <w:abstractNum w:abstractNumId="2" w15:restartNumberingAfterBreak="0">
    <w:nsid w:val="1FBB7D5B"/>
    <w:multiLevelType w:val="multilevel"/>
    <w:tmpl w:val="ADBA5822"/>
    <w:lvl w:ilvl="0">
      <w:numFmt w:val="bullet"/>
      <w:lvlText w:val="▪"/>
      <w:lvlJc w:val="left"/>
      <w:pPr>
        <w:ind w:left="1520" w:hanging="360"/>
      </w:pPr>
      <w:rPr>
        <w:rFonts w:ascii="Noto Sans Symbols" w:eastAsia="Noto Sans Symbols" w:hAnsi="Noto Sans Symbols" w:cs="Noto Sans Symbols"/>
        <w:b w:val="0"/>
        <w:i w:val="0"/>
        <w:sz w:val="22"/>
        <w:szCs w:val="22"/>
      </w:rPr>
    </w:lvl>
    <w:lvl w:ilvl="1">
      <w:numFmt w:val="bullet"/>
      <w:lvlText w:val="●"/>
      <w:lvlJc w:val="left"/>
      <w:pPr>
        <w:ind w:left="1880" w:hanging="360"/>
      </w:pPr>
      <w:rPr>
        <w:rFonts w:ascii="Noto Sans Symbols" w:eastAsia="Noto Sans Symbols" w:hAnsi="Noto Sans Symbols" w:cs="Noto Sans Symbols"/>
        <w:sz w:val="24"/>
        <w:szCs w:val="24"/>
      </w:rPr>
    </w:lvl>
    <w:lvl w:ilvl="2">
      <w:numFmt w:val="bullet"/>
      <w:lvlText w:val="•"/>
      <w:lvlJc w:val="left"/>
      <w:pPr>
        <w:ind w:left="2240" w:hanging="360"/>
      </w:pPr>
    </w:lvl>
    <w:lvl w:ilvl="3">
      <w:numFmt w:val="bullet"/>
      <w:lvlText w:val="•"/>
      <w:lvlJc w:val="left"/>
      <w:pPr>
        <w:ind w:left="3312" w:hanging="360"/>
      </w:pPr>
    </w:lvl>
    <w:lvl w:ilvl="4">
      <w:numFmt w:val="bullet"/>
      <w:lvlText w:val="•"/>
      <w:lvlJc w:val="left"/>
      <w:pPr>
        <w:ind w:left="4385" w:hanging="360"/>
      </w:pPr>
    </w:lvl>
    <w:lvl w:ilvl="5">
      <w:numFmt w:val="bullet"/>
      <w:lvlText w:val="•"/>
      <w:lvlJc w:val="left"/>
      <w:pPr>
        <w:ind w:left="5457" w:hanging="360"/>
      </w:pPr>
    </w:lvl>
    <w:lvl w:ilvl="6">
      <w:numFmt w:val="bullet"/>
      <w:lvlText w:val="•"/>
      <w:lvlJc w:val="left"/>
      <w:pPr>
        <w:ind w:left="6530" w:hanging="360"/>
      </w:pPr>
    </w:lvl>
    <w:lvl w:ilvl="7">
      <w:numFmt w:val="bullet"/>
      <w:lvlText w:val="•"/>
      <w:lvlJc w:val="left"/>
      <w:pPr>
        <w:ind w:left="7602" w:hanging="360"/>
      </w:pPr>
    </w:lvl>
    <w:lvl w:ilvl="8">
      <w:numFmt w:val="bullet"/>
      <w:lvlText w:val="•"/>
      <w:lvlJc w:val="left"/>
      <w:pPr>
        <w:ind w:left="8675" w:hanging="360"/>
      </w:pPr>
    </w:lvl>
  </w:abstractNum>
  <w:abstractNum w:abstractNumId="3" w15:restartNumberingAfterBreak="0">
    <w:nsid w:val="227B0368"/>
    <w:multiLevelType w:val="multilevel"/>
    <w:tmpl w:val="D26CFB5C"/>
    <w:lvl w:ilvl="0">
      <w:numFmt w:val="bullet"/>
      <w:lvlText w:val="●"/>
      <w:lvlJc w:val="left"/>
      <w:pPr>
        <w:ind w:left="1160" w:hanging="360"/>
      </w:pPr>
      <w:rPr>
        <w:rFonts w:ascii="Noto Sans Symbols" w:eastAsia="Noto Sans Symbols" w:hAnsi="Noto Sans Symbols" w:cs="Noto Sans Symbols"/>
        <w:b w:val="0"/>
        <w:i w:val="0"/>
        <w:sz w:val="22"/>
        <w:szCs w:val="22"/>
      </w:rPr>
    </w:lvl>
    <w:lvl w:ilvl="1">
      <w:numFmt w:val="bullet"/>
      <w:lvlText w:val="•"/>
      <w:lvlJc w:val="left"/>
      <w:pPr>
        <w:ind w:left="2126" w:hanging="360"/>
      </w:pPr>
    </w:lvl>
    <w:lvl w:ilvl="2">
      <w:numFmt w:val="bullet"/>
      <w:lvlText w:val="•"/>
      <w:lvlJc w:val="left"/>
      <w:pPr>
        <w:ind w:left="3092" w:hanging="360"/>
      </w:pPr>
    </w:lvl>
    <w:lvl w:ilvl="3">
      <w:numFmt w:val="bullet"/>
      <w:lvlText w:val="•"/>
      <w:lvlJc w:val="left"/>
      <w:pPr>
        <w:ind w:left="4058" w:hanging="360"/>
      </w:pPr>
    </w:lvl>
    <w:lvl w:ilvl="4">
      <w:numFmt w:val="bullet"/>
      <w:lvlText w:val="•"/>
      <w:lvlJc w:val="left"/>
      <w:pPr>
        <w:ind w:left="5024" w:hanging="360"/>
      </w:pPr>
    </w:lvl>
    <w:lvl w:ilvl="5">
      <w:numFmt w:val="bullet"/>
      <w:lvlText w:val="•"/>
      <w:lvlJc w:val="left"/>
      <w:pPr>
        <w:ind w:left="5990" w:hanging="360"/>
      </w:pPr>
    </w:lvl>
    <w:lvl w:ilvl="6">
      <w:numFmt w:val="bullet"/>
      <w:lvlText w:val="•"/>
      <w:lvlJc w:val="left"/>
      <w:pPr>
        <w:ind w:left="6956" w:hanging="360"/>
      </w:pPr>
    </w:lvl>
    <w:lvl w:ilvl="7">
      <w:numFmt w:val="bullet"/>
      <w:lvlText w:val="•"/>
      <w:lvlJc w:val="left"/>
      <w:pPr>
        <w:ind w:left="7922" w:hanging="360"/>
      </w:pPr>
    </w:lvl>
    <w:lvl w:ilvl="8">
      <w:numFmt w:val="bullet"/>
      <w:lvlText w:val="•"/>
      <w:lvlJc w:val="left"/>
      <w:pPr>
        <w:ind w:left="8888" w:hanging="360"/>
      </w:pPr>
    </w:lvl>
  </w:abstractNum>
  <w:abstractNum w:abstractNumId="4" w15:restartNumberingAfterBreak="0">
    <w:nsid w:val="266E057B"/>
    <w:multiLevelType w:val="multilevel"/>
    <w:tmpl w:val="EED4C574"/>
    <w:lvl w:ilvl="0">
      <w:numFmt w:val="bullet"/>
      <w:lvlText w:val="▪"/>
      <w:lvlJc w:val="left"/>
      <w:pPr>
        <w:ind w:left="1520" w:hanging="360"/>
      </w:pPr>
      <w:rPr>
        <w:rFonts w:ascii="Noto Sans Symbols" w:eastAsia="Noto Sans Symbols" w:hAnsi="Noto Sans Symbols" w:cs="Noto Sans Symbols"/>
        <w:b w:val="0"/>
        <w:i w:val="0"/>
        <w:sz w:val="30"/>
        <w:szCs w:val="30"/>
      </w:rPr>
    </w:lvl>
    <w:lvl w:ilvl="1">
      <w:numFmt w:val="bullet"/>
      <w:lvlText w:val="●"/>
      <w:lvlJc w:val="left"/>
      <w:pPr>
        <w:ind w:left="1880" w:hanging="360"/>
      </w:pPr>
      <w:rPr>
        <w:rFonts w:ascii="Noto Sans Symbols" w:eastAsia="Noto Sans Symbols" w:hAnsi="Noto Sans Symbols" w:cs="Noto Sans Symbols"/>
      </w:rPr>
    </w:lvl>
    <w:lvl w:ilvl="2">
      <w:numFmt w:val="bullet"/>
      <w:lvlText w:val="•"/>
      <w:lvlJc w:val="left"/>
      <w:pPr>
        <w:ind w:left="2240" w:hanging="360"/>
      </w:pPr>
    </w:lvl>
    <w:lvl w:ilvl="3">
      <w:numFmt w:val="bullet"/>
      <w:lvlText w:val="•"/>
      <w:lvlJc w:val="left"/>
      <w:pPr>
        <w:ind w:left="3312" w:hanging="360"/>
      </w:pPr>
    </w:lvl>
    <w:lvl w:ilvl="4">
      <w:numFmt w:val="bullet"/>
      <w:lvlText w:val="•"/>
      <w:lvlJc w:val="left"/>
      <w:pPr>
        <w:ind w:left="4385" w:hanging="360"/>
      </w:pPr>
    </w:lvl>
    <w:lvl w:ilvl="5">
      <w:numFmt w:val="bullet"/>
      <w:lvlText w:val="•"/>
      <w:lvlJc w:val="left"/>
      <w:pPr>
        <w:ind w:left="5457" w:hanging="360"/>
      </w:pPr>
    </w:lvl>
    <w:lvl w:ilvl="6">
      <w:numFmt w:val="bullet"/>
      <w:lvlText w:val="•"/>
      <w:lvlJc w:val="left"/>
      <w:pPr>
        <w:ind w:left="6530" w:hanging="360"/>
      </w:pPr>
    </w:lvl>
    <w:lvl w:ilvl="7">
      <w:numFmt w:val="bullet"/>
      <w:lvlText w:val="•"/>
      <w:lvlJc w:val="left"/>
      <w:pPr>
        <w:ind w:left="7602" w:hanging="360"/>
      </w:pPr>
    </w:lvl>
    <w:lvl w:ilvl="8">
      <w:numFmt w:val="bullet"/>
      <w:lvlText w:val="•"/>
      <w:lvlJc w:val="left"/>
      <w:pPr>
        <w:ind w:left="8675" w:hanging="360"/>
      </w:pPr>
    </w:lvl>
  </w:abstractNum>
  <w:abstractNum w:abstractNumId="5" w15:restartNumberingAfterBreak="0">
    <w:nsid w:val="41B040B1"/>
    <w:multiLevelType w:val="multilevel"/>
    <w:tmpl w:val="2A9CF7C6"/>
    <w:lvl w:ilvl="0">
      <w:start w:val="1"/>
      <w:numFmt w:val="decimal"/>
      <w:lvlText w:val="%1."/>
      <w:lvlJc w:val="left"/>
      <w:pPr>
        <w:ind w:left="1160" w:hanging="360"/>
      </w:pPr>
      <w:rPr>
        <w:b w:val="0"/>
        <w:i w:val="0"/>
        <w:sz w:val="30"/>
        <w:szCs w:val="30"/>
      </w:rPr>
    </w:lvl>
    <w:lvl w:ilvl="1">
      <w:numFmt w:val="bullet"/>
      <w:lvlText w:val="•"/>
      <w:lvlJc w:val="left"/>
      <w:pPr>
        <w:ind w:left="2126" w:hanging="360"/>
      </w:pPr>
    </w:lvl>
    <w:lvl w:ilvl="2">
      <w:numFmt w:val="bullet"/>
      <w:lvlText w:val="•"/>
      <w:lvlJc w:val="left"/>
      <w:pPr>
        <w:ind w:left="3092" w:hanging="360"/>
      </w:pPr>
    </w:lvl>
    <w:lvl w:ilvl="3">
      <w:numFmt w:val="bullet"/>
      <w:lvlText w:val="•"/>
      <w:lvlJc w:val="left"/>
      <w:pPr>
        <w:ind w:left="4058" w:hanging="360"/>
      </w:pPr>
    </w:lvl>
    <w:lvl w:ilvl="4">
      <w:numFmt w:val="bullet"/>
      <w:lvlText w:val="•"/>
      <w:lvlJc w:val="left"/>
      <w:pPr>
        <w:ind w:left="5024" w:hanging="360"/>
      </w:pPr>
    </w:lvl>
    <w:lvl w:ilvl="5">
      <w:numFmt w:val="bullet"/>
      <w:lvlText w:val="•"/>
      <w:lvlJc w:val="left"/>
      <w:pPr>
        <w:ind w:left="5990" w:hanging="360"/>
      </w:pPr>
    </w:lvl>
    <w:lvl w:ilvl="6">
      <w:numFmt w:val="bullet"/>
      <w:lvlText w:val="•"/>
      <w:lvlJc w:val="left"/>
      <w:pPr>
        <w:ind w:left="6956" w:hanging="360"/>
      </w:pPr>
    </w:lvl>
    <w:lvl w:ilvl="7">
      <w:numFmt w:val="bullet"/>
      <w:lvlText w:val="•"/>
      <w:lvlJc w:val="left"/>
      <w:pPr>
        <w:ind w:left="7922" w:hanging="360"/>
      </w:pPr>
    </w:lvl>
    <w:lvl w:ilvl="8">
      <w:numFmt w:val="bullet"/>
      <w:lvlText w:val="•"/>
      <w:lvlJc w:val="left"/>
      <w:pPr>
        <w:ind w:left="8888" w:hanging="360"/>
      </w:pPr>
    </w:lvl>
  </w:abstractNum>
  <w:abstractNum w:abstractNumId="6" w15:restartNumberingAfterBreak="0">
    <w:nsid w:val="48CB615D"/>
    <w:multiLevelType w:val="multilevel"/>
    <w:tmpl w:val="E29E8C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55956F54"/>
    <w:multiLevelType w:val="multilevel"/>
    <w:tmpl w:val="6FDA9B20"/>
    <w:lvl w:ilvl="0">
      <w:start w:val="1"/>
      <w:numFmt w:val="lowerLetter"/>
      <w:lvlText w:val="%1."/>
      <w:lvlJc w:val="left"/>
      <w:pPr>
        <w:ind w:left="720" w:hanging="360"/>
      </w:pPr>
      <w:rPr>
        <w:sz w:val="30"/>
        <w:szCs w:val="30"/>
      </w:rPr>
    </w:lvl>
    <w:lvl w:ilvl="1">
      <w:start w:val="1"/>
      <w:numFmt w:val="lowerLetter"/>
      <w:lvlText w:val="%2."/>
      <w:lvlJc w:val="left"/>
      <w:pPr>
        <w:ind w:left="1440" w:hanging="360"/>
      </w:pPr>
    </w:lvl>
    <w:lvl w:ilvl="2">
      <w:start w:val="1"/>
      <w:numFmt w:val="lowerLetter"/>
      <w:lvlText w:val="%3."/>
      <w:lvlJc w:val="left"/>
      <w:pPr>
        <w:ind w:left="2340" w:hanging="360"/>
      </w:pPr>
      <w:rPr>
        <w:sz w:val="30"/>
        <w:szCs w:val="3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5608323">
    <w:abstractNumId w:val="6"/>
  </w:num>
  <w:num w:numId="2" w16cid:durableId="1583829793">
    <w:abstractNumId w:val="7"/>
  </w:num>
  <w:num w:numId="3" w16cid:durableId="461000320">
    <w:abstractNumId w:val="4"/>
  </w:num>
  <w:num w:numId="4" w16cid:durableId="1349520886">
    <w:abstractNumId w:val="0"/>
  </w:num>
  <w:num w:numId="5" w16cid:durableId="1853642760">
    <w:abstractNumId w:val="5"/>
  </w:num>
  <w:num w:numId="6" w16cid:durableId="1244948124">
    <w:abstractNumId w:val="3"/>
  </w:num>
  <w:num w:numId="7" w16cid:durableId="2092922818">
    <w:abstractNumId w:val="2"/>
  </w:num>
  <w:num w:numId="8" w16cid:durableId="1575893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7A"/>
    <w:rsid w:val="002922A5"/>
    <w:rsid w:val="00340FE6"/>
    <w:rsid w:val="003D0552"/>
    <w:rsid w:val="003E5CA2"/>
    <w:rsid w:val="00403752"/>
    <w:rsid w:val="006B6DCE"/>
    <w:rsid w:val="0073461B"/>
    <w:rsid w:val="00941C88"/>
    <w:rsid w:val="009606A4"/>
    <w:rsid w:val="00B61873"/>
    <w:rsid w:val="00BB4B7A"/>
    <w:rsid w:val="00BE06D6"/>
    <w:rsid w:val="00C67EBC"/>
    <w:rsid w:val="00E34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3A969A"/>
  <w15:docId w15:val="{72A43194-1BC7-8D41-8B5A-93521807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40"/>
      <w:outlineLvl w:val="0"/>
    </w:pPr>
    <w:rPr>
      <w:sz w:val="24"/>
      <w:szCs w:val="24"/>
    </w:rPr>
  </w:style>
  <w:style w:type="paragraph" w:styleId="Heading2">
    <w:name w:val="heading 2"/>
    <w:basedOn w:val="Normal"/>
    <w:next w:val="Normal"/>
    <w:uiPriority w:val="9"/>
    <w:unhideWhenUsed/>
    <w:qFormat/>
    <w:pPr>
      <w:ind w:left="44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55"/>
      <w:ind w:left="2575" w:right="2437"/>
      <w:jc w:val="center"/>
    </w:pPr>
    <w:rPr>
      <w:b/>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58" w:type="dxa"/>
        <w:bottom w:w="0" w:type="dxa"/>
        <w:right w:w="5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58" w:type="dxa"/>
        <w:right w:w="58" w:type="dxa"/>
      </w:tblCellMar>
    </w:tblPr>
  </w:style>
  <w:style w:type="character" w:styleId="Hyperlink">
    <w:name w:val="Hyperlink"/>
    <w:basedOn w:val="DefaultParagraphFont"/>
    <w:uiPriority w:val="99"/>
    <w:unhideWhenUsed/>
    <w:rsid w:val="009606A4"/>
    <w:rPr>
      <w:color w:val="0000FF" w:themeColor="hyperlink"/>
      <w:u w:val="single"/>
    </w:rPr>
  </w:style>
  <w:style w:type="character" w:styleId="UnresolvedMention">
    <w:name w:val="Unresolved Mention"/>
    <w:basedOn w:val="DefaultParagraphFont"/>
    <w:uiPriority w:val="99"/>
    <w:semiHidden/>
    <w:unhideWhenUsed/>
    <w:rsid w:val="009606A4"/>
    <w:rPr>
      <w:color w:val="605E5C"/>
      <w:shd w:val="clear" w:color="auto" w:fill="E1DFDD"/>
    </w:rPr>
  </w:style>
  <w:style w:type="character" w:styleId="FollowedHyperlink">
    <w:name w:val="FollowedHyperlink"/>
    <w:basedOn w:val="DefaultParagraphFont"/>
    <w:uiPriority w:val="99"/>
    <w:semiHidden/>
    <w:unhideWhenUsed/>
    <w:rsid w:val="002922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udiology.org/practice-resources/cod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diology.org/practice-resources/reimbursemen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udiology.org/wp-content/uploads/2025/09/break-even-and-profit-margin_worksheet.xlsx" TargetMode="External"/><Relationship Id="rId4" Type="http://schemas.openxmlformats.org/officeDocument/2006/relationships/settings" Target="settings.xml"/><Relationship Id="rId9" Type="http://schemas.openxmlformats.org/officeDocument/2006/relationships/hyperlink" Target="https://www.audiology.org/clinical-resources/editable-superbill-template-ms-wor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vCL5RzTNgzcOnF53V3m+o+78g==">CgMxLjA4AHIhMUJSRXh2ZTVSTkgxaUFabkhWSEZYbTViRi1Pek1rZ1BR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1697</Words>
  <Characters>9679</Characters>
  <Application>Microsoft Office Word</Application>
  <DocSecurity>0</DocSecurity>
  <Lines>80</Lines>
  <Paragraphs>22</Paragraphs>
  <ScaleCrop>false</ScaleCrop>
  <Company/>
  <LinksUpToDate>false</LinksUpToDate>
  <CharactersWithSpaces>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Werner</dc:creator>
  <cp:lastModifiedBy>Aisha Ali</cp:lastModifiedBy>
  <cp:revision>7</cp:revision>
  <dcterms:created xsi:type="dcterms:W3CDTF">2025-09-15T15:28:00Z</dcterms:created>
  <dcterms:modified xsi:type="dcterms:W3CDTF">2025-09-18T18:44:00Z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2021-05-06T00:00:00Z</vt:lpwstr>
  </property>
  <property fmtid="{D5CDD505-2E9C-101B-9397-08002B2CF9AE}" pid="3" name="Creator">
    <vt:lpwstr>Microsoft® Word 2010</vt:lpwstr>
  </property>
  <property fmtid="{D5CDD505-2E9C-101B-9397-08002B2CF9AE}" pid="4" name="LastSaved">
    <vt:lpwstr>2022-03-25T00:00:00Z</vt:lpwstr>
  </property>
  <property fmtid="{D5CDD505-2E9C-101B-9397-08002B2CF9AE}" pid="5" name="GrammarlyDocumentId">
    <vt:lpwstr>8d8b26d2-1df7-4733-8d7a-91f1c158a31e</vt:lpwstr>
  </property>
</Properties>
</file>