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CFDF5" w14:textId="77777777" w:rsidR="00183855" w:rsidRDefault="00000000">
      <w:pPr>
        <w:jc w:val="center"/>
        <w:rPr>
          <w:rFonts w:ascii="Helvetica Neue" w:eastAsia="Helvetica Neue" w:hAnsi="Helvetica Neue" w:cs="Helvetica Neue"/>
          <w:b/>
          <w:sz w:val="24"/>
          <w:szCs w:val="24"/>
        </w:rPr>
      </w:pPr>
      <w:r>
        <w:rPr>
          <w:rFonts w:ascii="Helvetica Neue" w:eastAsia="Helvetica Neue" w:hAnsi="Helvetica Neue" w:cs="Helvetica Neue"/>
          <w:b/>
          <w:noProof/>
          <w:sz w:val="24"/>
          <w:szCs w:val="24"/>
        </w:rPr>
        <mc:AlternateContent>
          <mc:Choice Requires="wpg">
            <w:drawing>
              <wp:anchor distT="91440" distB="91440" distL="114300" distR="114300" simplePos="0" relativeHeight="251658240" behindDoc="0" locked="0" layoutInCell="1" hidden="0" allowOverlap="1" wp14:anchorId="0B841D56" wp14:editId="66661081">
                <wp:simplePos x="0" y="0"/>
                <wp:positionH relativeFrom="page">
                  <wp:posOffset>2747963</wp:posOffset>
                </wp:positionH>
                <wp:positionV relativeFrom="page">
                  <wp:posOffset>1048703</wp:posOffset>
                </wp:positionV>
                <wp:extent cx="3486785" cy="746125"/>
                <wp:effectExtent l="0" t="0" r="0" b="0"/>
                <wp:wrapSquare wrapText="bothSides" distT="91440" distB="91440" distL="114300" distR="114300"/>
                <wp:docPr id="1263826447" name="Rectangle 1263826447"/>
                <wp:cNvGraphicFramePr/>
                <a:graphic xmlns:a="http://schemas.openxmlformats.org/drawingml/2006/main">
                  <a:graphicData uri="http://schemas.microsoft.com/office/word/2010/wordprocessingShape">
                    <wps:wsp>
                      <wps:cNvSpPr/>
                      <wps:spPr>
                        <a:xfrm>
                          <a:off x="3607370" y="3411700"/>
                          <a:ext cx="3477260" cy="736600"/>
                        </a:xfrm>
                        <a:prstGeom prst="rect">
                          <a:avLst/>
                        </a:prstGeom>
                        <a:noFill/>
                        <a:ln>
                          <a:noFill/>
                        </a:ln>
                      </wps:spPr>
                      <wps:txbx>
                        <w:txbxContent>
                          <w:p w14:paraId="63BB17FE" w14:textId="77777777" w:rsidR="00183855" w:rsidRDefault="00000000">
                            <w:pPr>
                              <w:spacing w:after="0" w:line="258" w:lineRule="auto"/>
                              <w:jc w:val="center"/>
                              <w:textDirection w:val="btLr"/>
                            </w:pPr>
                            <w:r>
                              <w:rPr>
                                <w:rFonts w:ascii="Helvetica Neue" w:eastAsia="Helvetica Neue" w:hAnsi="Helvetica Neue" w:cs="Helvetica Neue"/>
                                <w:b/>
                                <w:color w:val="50637D"/>
                                <w:sz w:val="36"/>
                              </w:rPr>
                              <w:t>Dispelling Myths that inhibit a Sustainable Revenue Model in Audiology</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91440" distT="91440" distL="114300" distR="114300" hidden="0" layoutInCell="1" locked="0" relativeHeight="0" simplePos="0">
                <wp:simplePos x="0" y="0"/>
                <wp:positionH relativeFrom="page">
                  <wp:posOffset>2747963</wp:posOffset>
                </wp:positionH>
                <wp:positionV relativeFrom="page">
                  <wp:posOffset>1048703</wp:posOffset>
                </wp:positionV>
                <wp:extent cx="3486785" cy="746125"/>
                <wp:effectExtent b="0" l="0" r="0" t="0"/>
                <wp:wrapSquare wrapText="bothSides" distB="91440" distT="91440" distL="114300" distR="114300"/>
                <wp:docPr id="1263826447"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3486785" cy="746125"/>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749421C4" wp14:editId="71E05489">
            <wp:simplePos x="0" y="0"/>
            <wp:positionH relativeFrom="column">
              <wp:posOffset>1</wp:posOffset>
            </wp:positionH>
            <wp:positionV relativeFrom="paragraph">
              <wp:posOffset>0</wp:posOffset>
            </wp:positionV>
            <wp:extent cx="1380744" cy="1252728"/>
            <wp:effectExtent l="0" t="0" r="0" b="0"/>
            <wp:wrapTopAndBottom distT="0" distB="0"/>
            <wp:docPr id="1263826448" name="image1.png" descr="A blue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and white logo&#10;&#10;AI-generated content may be incorrect."/>
                    <pic:cNvPicPr preferRelativeResize="0"/>
                  </pic:nvPicPr>
                  <pic:blipFill>
                    <a:blip r:embed="rId8"/>
                    <a:srcRect/>
                    <a:stretch>
                      <a:fillRect/>
                    </a:stretch>
                  </pic:blipFill>
                  <pic:spPr>
                    <a:xfrm>
                      <a:off x="0" y="0"/>
                      <a:ext cx="1380744" cy="1252728"/>
                    </a:xfrm>
                    <a:prstGeom prst="rect">
                      <a:avLst/>
                    </a:prstGeom>
                    <a:ln/>
                  </pic:spPr>
                </pic:pic>
              </a:graphicData>
            </a:graphic>
          </wp:anchor>
        </w:drawing>
      </w:r>
    </w:p>
    <w:p w14:paraId="7447A659"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Audiologists often face significant barriers in building a sustainable revenue model, not due to lack of services or demand, but due to myths surrounding billing, coding, and reimbursement. </w:t>
      </w:r>
    </w:p>
    <w:p w14:paraId="7BC59865"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Myth #1: "If there isn’t a code, I can’t bill the patient."</w:t>
      </w:r>
    </w:p>
    <w:p w14:paraId="66744277"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Reality:</w:t>
      </w:r>
      <w:r>
        <w:rPr>
          <w:rFonts w:ascii="Helvetica Neue" w:eastAsia="Helvetica Neue" w:hAnsi="Helvetica Neue" w:cs="Helvetica Neue"/>
          <w:sz w:val="24"/>
          <w:szCs w:val="24"/>
        </w:rPr>
        <w:t xml:space="preserve"> While CPT codes are important for third-party reimbursement, they are not the only way to bill for a service. You can charge a patient for services that are not coded if the value is communicated clearly and the patient consents. Transparency, documentation, and clarity in service delivery are the keys to success.  Many valuable services in audiology do not have a specific code but are still billable directly to the patient or through alternative financial models. Lack of a code does not mean a lack of value or that services should be provided free of charge.</w:t>
      </w:r>
    </w:p>
    <w:p w14:paraId="1526BF1A"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Myth #2: "Miscellaneous codes can’t be used."</w:t>
      </w:r>
    </w:p>
    <w:p w14:paraId="0A7E0331"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Reality:</w:t>
      </w:r>
      <w:r>
        <w:rPr>
          <w:rFonts w:ascii="Helvetica Neue" w:eastAsia="Helvetica Neue" w:hAnsi="Helvetica Neue" w:cs="Helvetica Neue"/>
          <w:sz w:val="24"/>
          <w:szCs w:val="24"/>
        </w:rPr>
        <w:t xml:space="preserve"> Miscellaneous codes (e.g., 92700) are used across specialties to describe services without an assigned CPT code. Proper documentation and justification can allow these to be used effectively, especially in private pay or hybrid models. Be advised that using miscellaneous codes for services may not yield the desired reimbursement, or any reimbursement at all. Consider establishing self-pay pricing for non-coded services to ensure consistent reimbursement.</w:t>
      </w:r>
    </w:p>
    <w:p w14:paraId="1F4D31DD"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Myth #3: "If we get the right legislation, payors will increase rates."</w:t>
      </w:r>
    </w:p>
    <w:p w14:paraId="6F7EB490"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Reality:</w:t>
      </w:r>
      <w:r>
        <w:rPr>
          <w:rFonts w:ascii="Helvetica Neue" w:eastAsia="Helvetica Neue" w:hAnsi="Helvetica Neue" w:cs="Helvetica Neue"/>
          <w:sz w:val="24"/>
          <w:szCs w:val="24"/>
        </w:rPr>
        <w:t xml:space="preserve"> Legislative changes are slow and unpredictable. Even when they do occur, payors are not obligated to increase rates or cover new services. Sustainable revenue should not rely solely on hope for future legislative wins. In fact, practitioner status for audiologists does not guarantee that Evaluation and Management codes will be available for billing. </w:t>
      </w:r>
    </w:p>
    <w:p w14:paraId="6AE1EAE0"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Myth #4: "We need more codes to bill insurance."</w:t>
      </w:r>
    </w:p>
    <w:p w14:paraId="77FC893C"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Reality:</w:t>
      </w:r>
      <w:r>
        <w:rPr>
          <w:rFonts w:ascii="Helvetica Neue" w:eastAsia="Helvetica Neue" w:hAnsi="Helvetica Neue" w:cs="Helvetica Neue"/>
          <w:sz w:val="24"/>
          <w:szCs w:val="24"/>
        </w:rPr>
        <w:t xml:space="preserve"> CPT codes are only one part of the revenue puzzle and are primarily tools for insurance billing, not necessarily value indicators. While having more procedure codes will allow for more audiology services to be billed to insurance, that won’t result in higher reimbursement. In fact, it would likely result in lower reimbursement overall. In </w:t>
      </w:r>
      <w:r>
        <w:rPr>
          <w:rFonts w:ascii="Helvetica Neue" w:eastAsia="Helvetica Neue" w:hAnsi="Helvetica Neue" w:cs="Helvetica Neue"/>
          <w:sz w:val="24"/>
          <w:szCs w:val="24"/>
        </w:rPr>
        <w:lastRenderedPageBreak/>
        <w:t>most cases, new codes are undervalued or bundled into existing codes, leading to no increase in net revenue. Budget neutrality within the CMS system further limits reimbursement for medical procedures and services. Strategic pricing and value-based care models often offer more control and sustainability.  Diversified revenue models may potentially include partially bundled or unbundled pricing, subscription services, and other direct-pay offerings.</w:t>
      </w:r>
    </w:p>
    <w:p w14:paraId="2E29B85C"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Myth #5: "I can't charge the patient out of pocket for that."</w:t>
      </w:r>
    </w:p>
    <w:p w14:paraId="11927B1D"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Reality:</w:t>
      </w:r>
      <w:r>
        <w:rPr>
          <w:rFonts w:ascii="Helvetica Neue" w:eastAsia="Helvetica Neue" w:hAnsi="Helvetica Neue" w:cs="Helvetica Neue"/>
          <w:sz w:val="24"/>
          <w:szCs w:val="24"/>
        </w:rPr>
        <w:t xml:space="preserve"> Audiologists can offer services that are not covered by or billable to insurance on a cash-pay basis </w:t>
      </w:r>
      <w:proofErr w:type="gramStart"/>
      <w:r>
        <w:rPr>
          <w:rFonts w:ascii="Helvetica Neue" w:eastAsia="Helvetica Neue" w:hAnsi="Helvetica Neue" w:cs="Helvetica Neue"/>
          <w:sz w:val="24"/>
          <w:szCs w:val="24"/>
        </w:rPr>
        <w:t>as long as</w:t>
      </w:r>
      <w:proofErr w:type="gramEnd"/>
      <w:r>
        <w:rPr>
          <w:rFonts w:ascii="Helvetica Neue" w:eastAsia="Helvetica Neue" w:hAnsi="Helvetica Neue" w:cs="Helvetica Neue"/>
          <w:sz w:val="24"/>
          <w:szCs w:val="24"/>
        </w:rPr>
        <w:t xml:space="preserve"> patients are fully informed and the practice complies with relevant regulations (such as ABNs, when required, for Medicare). Direct-to-patient models are not only legal but often preferred for convenience and transparency. Again, just because insurance may not pay, it does not mean that services should be given away.</w:t>
      </w:r>
    </w:p>
    <w:p w14:paraId="3B89CB45"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Myth #6: "My workplace won't let me bill for that."</w:t>
      </w:r>
    </w:p>
    <w:p w14:paraId="3047F7B3"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Reality:</w:t>
      </w:r>
      <w:r>
        <w:rPr>
          <w:rFonts w:ascii="Helvetica Neue" w:eastAsia="Helvetica Neue" w:hAnsi="Helvetica Neue" w:cs="Helvetica Neue"/>
          <w:sz w:val="24"/>
          <w:szCs w:val="24"/>
        </w:rPr>
        <w:t xml:space="preserve"> Hospital billing policies can be restrictive, but many can be changed or worked around with education and advocacy. </w:t>
      </w:r>
    </w:p>
    <w:p w14:paraId="53F65B81" w14:textId="77777777" w:rsidR="00183855" w:rsidRDefault="00000000">
      <w:pPr>
        <w:rPr>
          <w:rFonts w:ascii="Helvetica Neue" w:eastAsia="Helvetica Neue" w:hAnsi="Helvetica Neue" w:cs="Helvetica Neue"/>
          <w:b/>
          <w:sz w:val="24"/>
          <w:szCs w:val="24"/>
        </w:rPr>
      </w:pPr>
      <w:r>
        <w:rPr>
          <w:rFonts w:ascii="Helvetica Neue" w:eastAsia="Helvetica Neue" w:hAnsi="Helvetica Neue" w:cs="Helvetica Neue"/>
          <w:b/>
          <w:sz w:val="24"/>
          <w:szCs w:val="24"/>
        </w:rPr>
        <w:t>Myth #7: “If I start charging my patients for services, they won’t come back to me.”</w:t>
      </w:r>
    </w:p>
    <w:p w14:paraId="2D2136A9" w14:textId="5A41706C" w:rsidR="00183855" w:rsidRDefault="00000000">
      <w:pPr>
        <w:rPr>
          <w:rFonts w:ascii="Helvetica Neue" w:eastAsia="Helvetica Neue" w:hAnsi="Helvetica Neue" w:cs="Helvetica Neue"/>
          <w:color w:val="CC0000"/>
          <w:sz w:val="24"/>
          <w:szCs w:val="24"/>
        </w:rPr>
      </w:pPr>
      <w:r>
        <w:rPr>
          <w:rFonts w:ascii="Helvetica Neue" w:eastAsia="Helvetica Neue" w:hAnsi="Helvetica Neue" w:cs="Helvetica Neue"/>
          <w:sz w:val="24"/>
          <w:szCs w:val="24"/>
        </w:rPr>
        <w:t xml:space="preserve">There will always be patients who are motivated by cost, or cost savings, over the quality of care or expertise or the provider. Charging patients for professional time and expertise conveys to patients one’s own value in the services provided. Check out the </w:t>
      </w:r>
      <w:hyperlink r:id="rId9" w:anchor=":~:text=Communicating%20Your%20Worth%3A%20Talking%20Points%20for%20Audiologists" w:history="1">
        <w:r w:rsidRPr="008A7B3E">
          <w:rPr>
            <w:rStyle w:val="Hyperlink"/>
            <w:rFonts w:ascii="Helvetica Neue" w:eastAsia="Helvetica Neue" w:hAnsi="Helvetica Neue" w:cs="Helvetica Neue"/>
            <w:sz w:val="24"/>
            <w:szCs w:val="24"/>
          </w:rPr>
          <w:t>Academy’s resource</w:t>
        </w:r>
      </w:hyperlink>
      <w:r>
        <w:rPr>
          <w:rFonts w:ascii="Helvetica Neue" w:eastAsia="Helvetica Neue" w:hAnsi="Helvetica Neue" w:cs="Helvetica Neue"/>
          <w:sz w:val="24"/>
          <w:szCs w:val="24"/>
        </w:rPr>
        <w:t xml:space="preserve"> that provides talking points that will challenge this thought process.</w:t>
      </w:r>
    </w:p>
    <w:p w14:paraId="6E3AC037" w14:textId="77777777" w:rsidR="00183855" w:rsidRDefault="00000000">
      <w:pPr>
        <w:rPr>
          <w:rFonts w:ascii="Helvetica Neue" w:eastAsia="Helvetica Neue" w:hAnsi="Helvetica Neue" w:cs="Helvetica Neue"/>
          <w:b/>
          <w:sz w:val="24"/>
          <w:szCs w:val="24"/>
        </w:rPr>
      </w:pPr>
      <w:r>
        <w:rPr>
          <w:rFonts w:ascii="Helvetica Neue" w:eastAsia="Helvetica Neue" w:hAnsi="Helvetica Neue" w:cs="Helvetica Neue"/>
          <w:b/>
          <w:sz w:val="24"/>
          <w:szCs w:val="24"/>
        </w:rPr>
        <w:t>Myth #8: “Unbundling or itemizing is too time consuming for me to do so I’m just not going to do it.”</w:t>
      </w:r>
    </w:p>
    <w:p w14:paraId="5EED017A" w14:textId="69F918F0" w:rsidR="00183855" w:rsidRDefault="00000000">
      <w:pPr>
        <w:rPr>
          <w:rFonts w:ascii="Helvetica Neue" w:eastAsia="Helvetica Neue" w:hAnsi="Helvetica Neue" w:cs="Helvetica Neue"/>
          <w:color w:val="CC0000"/>
          <w:sz w:val="24"/>
          <w:szCs w:val="24"/>
        </w:rPr>
      </w:pPr>
      <w:r>
        <w:rPr>
          <w:rFonts w:ascii="Helvetica Neue" w:eastAsia="Helvetica Neue" w:hAnsi="Helvetica Neue" w:cs="Helvetica Neue"/>
          <w:sz w:val="24"/>
          <w:szCs w:val="24"/>
        </w:rPr>
        <w:t xml:space="preserve">Changing from a bundled to unbundled delivery model can seem like a daunting task, but rest assured that it isn’t as hard, or time-consuming, as one might think. Use the </w:t>
      </w:r>
      <w:hyperlink r:id="rId10" w:history="1">
        <w:r w:rsidRPr="008A7B3E">
          <w:rPr>
            <w:rStyle w:val="Hyperlink"/>
            <w:rFonts w:ascii="Helvetica Neue" w:eastAsia="Helvetica Neue" w:hAnsi="Helvetica Neue" w:cs="Helvetica Neue"/>
            <w:sz w:val="24"/>
            <w:szCs w:val="24"/>
          </w:rPr>
          <w:t>Academy’s Guide</w:t>
        </w:r>
      </w:hyperlink>
      <w:r>
        <w:rPr>
          <w:rFonts w:ascii="Helvetica Neue" w:eastAsia="Helvetica Neue" w:hAnsi="Helvetica Neue" w:cs="Helvetica Neue"/>
          <w:sz w:val="24"/>
          <w:szCs w:val="24"/>
        </w:rPr>
        <w:t xml:space="preserve"> to Itemization as a resource to help you through the process one step at a time.</w:t>
      </w:r>
    </w:p>
    <w:p w14:paraId="455E9D21"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Conclusion:</w:t>
      </w:r>
    </w:p>
    <w:p w14:paraId="59BEE5D6"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To build a sustainable and future-proof audiology practice, clinicians must move beyond outdated myths and embrace innovative, patient-centric business models. Relying solely on insurance codes and reimbursements limits growth and undermines the value of audiological care. By understanding what is truly possible, audiologists can reclaim control over their financial futures.</w:t>
      </w:r>
    </w:p>
    <w:sectPr w:rsidR="0018385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7F87B7F0-FE9B-F64A-B56C-865474DD050A}"/>
    <w:embedItalic r:id="rId2" w:fontKey="{C3043A54-BA19-0449-8EC1-26AE5A3E0FF2}"/>
  </w:font>
  <w:font w:name="Times New Roman">
    <w:panose1 w:val="02020603050405020304"/>
    <w:charset w:val="00"/>
    <w:family w:val="roman"/>
    <w:pitch w:val="variable"/>
    <w:sig w:usb0="E0002EFF" w:usb1="C000785B" w:usb2="00000009" w:usb3="00000000" w:csb0="000001FF" w:csb1="00000000"/>
    <w:embedRegular r:id="rId3" w:fontKey="{88297154-49A5-AA48-8DB2-4696BD898B3A}"/>
    <w:embedBold r:id="rId4" w:fontKey="{9E90194D-F74C-614C-9234-C91FFDCA92EC}"/>
    <w:embedItalic r:id="rId5" w:fontKey="{9297DB94-C77C-FF4B-A696-559F0E0C64B8}"/>
  </w:font>
  <w:font w:name="Calibri Light">
    <w:panose1 w:val="020F0302020204030204"/>
    <w:charset w:val="00"/>
    <w:family w:val="modern"/>
    <w:pitch w:val="variable"/>
    <w:sig w:usb0="00000003" w:usb1="00000000" w:usb2="00000000" w:usb3="00000000" w:csb0="00000001" w:csb1="00000000"/>
    <w:embedRegular r:id="rId6" w:fontKey="{B72603FC-6ECE-FA4A-89DB-AFD25213B467}"/>
  </w:font>
  <w:font w:name="Helvetica Neue">
    <w:panose1 w:val="02000503000000020004"/>
    <w:charset w:val="00"/>
    <w:family w:val="auto"/>
    <w:pitch w:val="variable"/>
    <w:sig w:usb0="E50002FF" w:usb1="500079DB" w:usb2="0000001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855"/>
    <w:rsid w:val="00183855"/>
    <w:rsid w:val="00403752"/>
    <w:rsid w:val="008A7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EFDB03A"/>
  <w15:docId w15:val="{72A43194-1BC7-8D41-8B5A-935218075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2A4F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4F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4F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2A4FB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A4FB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A4FB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A4FB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A4FB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A4F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4F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4F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4FBD"/>
    <w:rPr>
      <w:rFonts w:eastAsiaTheme="majorEastAsia" w:cstheme="majorBidi"/>
      <w:color w:val="272727" w:themeColor="text1" w:themeTint="D8"/>
    </w:rPr>
  </w:style>
  <w:style w:type="character" w:customStyle="1" w:styleId="TitleChar">
    <w:name w:val="Title Char"/>
    <w:basedOn w:val="DefaultParagraphFont"/>
    <w:link w:val="Title"/>
    <w:uiPriority w:val="10"/>
    <w:rsid w:val="002A4FB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A4F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4FBD"/>
    <w:pPr>
      <w:spacing w:before="160"/>
      <w:jc w:val="center"/>
    </w:pPr>
    <w:rPr>
      <w:i/>
      <w:iCs/>
      <w:color w:val="404040" w:themeColor="text1" w:themeTint="BF"/>
    </w:rPr>
  </w:style>
  <w:style w:type="character" w:customStyle="1" w:styleId="QuoteChar">
    <w:name w:val="Quote Char"/>
    <w:basedOn w:val="DefaultParagraphFont"/>
    <w:link w:val="Quote"/>
    <w:uiPriority w:val="29"/>
    <w:rsid w:val="002A4FBD"/>
    <w:rPr>
      <w:i/>
      <w:iCs/>
      <w:color w:val="404040" w:themeColor="text1" w:themeTint="BF"/>
    </w:rPr>
  </w:style>
  <w:style w:type="paragraph" w:styleId="ListParagraph">
    <w:name w:val="List Paragraph"/>
    <w:basedOn w:val="Normal"/>
    <w:uiPriority w:val="34"/>
    <w:qFormat/>
    <w:rsid w:val="002A4FBD"/>
    <w:pPr>
      <w:ind w:left="720"/>
      <w:contextualSpacing/>
    </w:pPr>
  </w:style>
  <w:style w:type="character" w:styleId="IntenseEmphasis">
    <w:name w:val="Intense Emphasis"/>
    <w:basedOn w:val="DefaultParagraphFont"/>
    <w:uiPriority w:val="21"/>
    <w:qFormat/>
    <w:rsid w:val="002A4FBD"/>
    <w:rPr>
      <w:i/>
      <w:iCs/>
      <w:color w:val="2F5496" w:themeColor="accent1" w:themeShade="BF"/>
    </w:rPr>
  </w:style>
  <w:style w:type="paragraph" w:styleId="IntenseQuote">
    <w:name w:val="Intense Quote"/>
    <w:basedOn w:val="Normal"/>
    <w:next w:val="Normal"/>
    <w:link w:val="IntenseQuoteChar"/>
    <w:uiPriority w:val="30"/>
    <w:qFormat/>
    <w:rsid w:val="002A4FB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4FBD"/>
    <w:rPr>
      <w:i/>
      <w:iCs/>
      <w:color w:val="2F5496" w:themeColor="accent1" w:themeShade="BF"/>
    </w:rPr>
  </w:style>
  <w:style w:type="character" w:styleId="IntenseReference">
    <w:name w:val="Intense Reference"/>
    <w:basedOn w:val="DefaultParagraphFont"/>
    <w:uiPriority w:val="32"/>
    <w:qFormat/>
    <w:rsid w:val="002A4FBD"/>
    <w:rPr>
      <w:b/>
      <w:bCs/>
      <w:smallCaps/>
      <w:color w:val="2F5496" w:themeColor="accent1" w:themeShade="BF"/>
      <w:spacing w:val="5"/>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Subtitle">
    <w:name w:val="Subtitle"/>
    <w:basedOn w:val="Normal"/>
    <w:next w:val="Normal"/>
    <w:link w:val="SubtitleChar"/>
    <w:uiPriority w:val="11"/>
    <w:qFormat/>
    <w:rPr>
      <w:color w:val="595959"/>
      <w:sz w:val="28"/>
      <w:szCs w:val="28"/>
    </w:rPr>
  </w:style>
  <w:style w:type="character" w:styleId="Hyperlink">
    <w:name w:val="Hyperlink"/>
    <w:basedOn w:val="DefaultParagraphFont"/>
    <w:uiPriority w:val="99"/>
    <w:unhideWhenUsed/>
    <w:rsid w:val="008A7B3E"/>
    <w:rPr>
      <w:color w:val="0563C1" w:themeColor="hyperlink"/>
      <w:u w:val="single"/>
    </w:rPr>
  </w:style>
  <w:style w:type="character" w:styleId="UnresolvedMention">
    <w:name w:val="Unresolved Mention"/>
    <w:basedOn w:val="DefaultParagraphFont"/>
    <w:uiPriority w:val="99"/>
    <w:semiHidden/>
    <w:unhideWhenUsed/>
    <w:rsid w:val="008A7B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11" Type="http://schemas.openxmlformats.org/officeDocument/2006/relationships/fontTable" Target="fontTable.xml"/><Relationship Id="rId10" Type="http://schemas.openxmlformats.org/officeDocument/2006/relationships/hyperlink" Target="https://www.audiology.org/wp-content/uploads/2025/09/GuidetoItemization1.pdf" TargetMode="External"/><Relationship Id="rId4" Type="http://schemas.openxmlformats.org/officeDocument/2006/relationships/webSettings" Target="webSettings.xml"/><Relationship Id="rId9" Type="http://schemas.openxmlformats.org/officeDocument/2006/relationships/hyperlink" Target="https://www.audiology.org/practice-resources/practice-management-tool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iCc57Qljs7LdgNqBxwV1QGMHSA==">CgMxLjA4AHIhMUdLd3Bxb203REt2ME9Sc2N6bkMxOGRDT0lMZmotNThY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711</Words>
  <Characters>4055</Characters>
  <Application>Microsoft Office Word</Application>
  <DocSecurity>0</DocSecurity>
  <Lines>33</Lines>
  <Paragraphs>9</Paragraphs>
  <ScaleCrop>false</ScaleCrop>
  <Company/>
  <LinksUpToDate>false</LinksUpToDate>
  <CharactersWithSpaces>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Brenna Carroll</dc:creator>
  <cp:lastModifiedBy>Aisha Ali</cp:lastModifiedBy>
  <cp:revision>2</cp:revision>
  <dcterms:created xsi:type="dcterms:W3CDTF">2025-05-29T16:17:00Z</dcterms:created>
  <dcterms:modified xsi:type="dcterms:W3CDTF">2025-09-15T15:46:00Z</dcterms:modified>
</cp:coreProperties>
</file>