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1"/>
          <w:szCs w:val="31"/>
          <w:w w:val="102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1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74" w:lineRule="exact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2" w:after="0" w:line="271" w:lineRule="exact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ki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Be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ndure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pr.c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323" w:right="3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2985" w:right="296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94" w:right="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  <w:u w:val="single" w:color="0563C1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color w:val="0563C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Academies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Sciences,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Engineering,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Medicine,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Promise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Assistive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Participation,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highlights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“working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devices,”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“can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off-the-shelf</w:t>
      </w:r>
    </w:p>
    <w:p>
      <w:pPr>
        <w:spacing w:before="7" w:after="0" w:line="274" w:lineRule="exact"/>
        <w:ind w:left="100" w:right="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Adults.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baby-boomer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NIDCD,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(37.5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</w:p>
    <w:p>
      <w:pPr>
        <w:spacing w:before="2" w:after="0" w:line="240" w:lineRule="auto"/>
        <w:ind w:left="100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stigma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overlooked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entirely.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“Untreated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agreements,”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Windmill,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Cincinnati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in-depth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hearing-related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consumers.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highlights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maximizing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“Unlike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“Qualified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prescribe,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maximizing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off-the-shelf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products.”</w:t>
      </w:r>
    </w:p>
    <w:p>
      <w:pPr>
        <w:jc w:val="left"/>
        <w:spacing w:after="0"/>
        <w:sectPr>
          <w:type w:val="continuous"/>
          <w:pgSz w:w="12240" w:h="15840"/>
          <w:pgMar w:top="660" w:bottom="280" w:left="1340" w:right="1340"/>
        </w:sectPr>
      </w:pPr>
      <w:rPr/>
    </w:p>
    <w:p>
      <w:pPr>
        <w:spacing w:before="76" w:after="0" w:line="240" w:lineRule="auto"/>
        <w:ind w:left="10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diagnosing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habilitation,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caregivers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doctoral-level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rigorous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mitigate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impairments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restrictions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2" w:after="0" w:line="240" w:lineRule="auto"/>
        <w:ind w:left="100" w:right="7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real-world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audiometric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devices.”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10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impediment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optimizing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loss.”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diagnose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recommendations,”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Windmill.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reinforcement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audiologists.”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2" w:right="448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100" w:right="28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ded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qua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563C1"/>
          <w:spacing w:val="0"/>
          <w:w w:val="102"/>
        </w:rPr>
      </w:r>
      <w:hyperlink r:id="rId6"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2"/>
            <w:u w:val="single" w:color="0563C1"/>
          </w:rPr>
          <w:t>www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2"/>
            <w:u w:val="single" w:color="0563C1"/>
          </w:rPr>
          <w:t>w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s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h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  <w:t>a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333333"/>
            <w:spacing w:val="0"/>
            <w:w w:val="102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</w:rPr>
        </w:r>
      </w:hyperlink>
    </w:p>
    <w:sectPr>
      <w:pgSz w:w="12240" w:h="15840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2018-04-18T16:16:30Z</dcterms:created>
  <dcterms:modified xsi:type="dcterms:W3CDTF">2018-04-18T16:16:30Z</dcterms:modified>
</cp:coreProperties>
</file>